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CEC0F" w14:textId="4982F399" w:rsidR="007040D0" w:rsidRDefault="00952FE9" w:rsidP="00952FE9">
      <w:pPr>
        <w:pStyle w:val="Ttulo2"/>
        <w:suppressAutoHyphens/>
        <w:spacing w:line="240" w:lineRule="auto"/>
      </w:pPr>
      <w:bookmarkStart w:id="0" w:name="_Toc444086398"/>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ESTACIÓN B-4 PUENTE ARANDA</w:t>
      </w:r>
      <w:bookmarkStart w:id="2" w:name="_GoBack"/>
      <w:bookmarkEnd w:id="2"/>
    </w:p>
    <w:p w14:paraId="5CEF5738" w14:textId="0A48D50F" w:rsidR="005175B7" w:rsidRDefault="005175B7" w:rsidP="0057481C">
      <w:pPr>
        <w:spacing w:after="0" w:line="240" w:lineRule="auto"/>
        <w:jc w:val="both"/>
        <w:rPr>
          <w:rFonts w:ascii="Arial" w:hAnsi="Arial" w:cs="Arial"/>
          <w:sz w:val="24"/>
          <w:szCs w:val="24"/>
        </w:rPr>
      </w:pPr>
    </w:p>
    <w:p w14:paraId="4FB494EA" w14:textId="12BA89BF" w:rsidR="00391784" w:rsidRDefault="00846220" w:rsidP="00846220">
      <w:pPr>
        <w:spacing w:after="0" w:line="240" w:lineRule="auto"/>
        <w:jc w:val="center"/>
        <w:rPr>
          <w:noProof/>
          <w:lang w:val="es-419" w:eastAsia="es-419"/>
        </w:rPr>
      </w:pPr>
      <w:r w:rsidRPr="00846220">
        <w:rPr>
          <w:noProof/>
          <w:lang w:val="es-419" w:eastAsia="es-419"/>
        </w:rPr>
        <w:drawing>
          <wp:inline distT="0" distB="0" distL="0" distR="0" wp14:anchorId="19431B03" wp14:editId="4461757A">
            <wp:extent cx="4635500" cy="5789719"/>
            <wp:effectExtent l="0" t="0" r="0" b="1905"/>
            <wp:docPr id="365876109"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76109" name="Imagen 1">
                      <a:extLst>
                        <a:ext uri="{C183D7F6-B498-43B3-948B-1728B52AA6E4}">
                          <adec:decorative xmlns:adec="http://schemas.microsoft.com/office/drawing/2017/decorative" val="1"/>
                        </a:ext>
                      </a:extLst>
                    </pic:cNvPr>
                    <pic:cNvPicPr/>
                  </pic:nvPicPr>
                  <pic:blipFill>
                    <a:blip r:embed="rId8"/>
                    <a:stretch>
                      <a:fillRect/>
                    </a:stretch>
                  </pic:blipFill>
                  <pic:spPr>
                    <a:xfrm>
                      <a:off x="0" y="0"/>
                      <a:ext cx="4645527" cy="5802243"/>
                    </a:xfrm>
                    <a:prstGeom prst="rect">
                      <a:avLst/>
                    </a:prstGeom>
                  </pic:spPr>
                </pic:pic>
              </a:graphicData>
            </a:graphic>
          </wp:inline>
        </w:drawing>
      </w:r>
    </w:p>
    <w:p w14:paraId="6693ED7D" w14:textId="55ED9FC2" w:rsidR="007040D0" w:rsidRDefault="007040D0" w:rsidP="0057481C">
      <w:pPr>
        <w:spacing w:after="0" w:line="240" w:lineRule="auto"/>
        <w:jc w:val="both"/>
        <w:rPr>
          <w:noProof/>
          <w:lang w:val="es-419" w:eastAsia="es-419"/>
        </w:rPr>
      </w:pPr>
    </w:p>
    <w:p w14:paraId="01004C54" w14:textId="0D734A04" w:rsidR="00846220" w:rsidRDefault="00846220" w:rsidP="00846220">
      <w:pPr>
        <w:spacing w:after="0" w:line="240" w:lineRule="auto"/>
        <w:jc w:val="center"/>
        <w:rPr>
          <w:noProof/>
          <w:lang w:val="es-419" w:eastAsia="es-419"/>
        </w:rPr>
      </w:pPr>
      <w:r w:rsidRPr="00846220">
        <w:rPr>
          <w:noProof/>
          <w:lang w:val="es-419" w:eastAsia="es-419"/>
        </w:rPr>
        <w:lastRenderedPageBreak/>
        <w:drawing>
          <wp:inline distT="0" distB="0" distL="0" distR="0" wp14:anchorId="1AEB41F7" wp14:editId="02AA9533">
            <wp:extent cx="4857750" cy="6150538"/>
            <wp:effectExtent l="0" t="0" r="0" b="3175"/>
            <wp:docPr id="124800567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05676" name="Imagen 1">
                      <a:extLst>
                        <a:ext uri="{C183D7F6-B498-43B3-948B-1728B52AA6E4}">
                          <adec:decorative xmlns:adec="http://schemas.microsoft.com/office/drawing/2017/decorative" val="1"/>
                        </a:ext>
                      </a:extLst>
                    </pic:cNvPr>
                    <pic:cNvPicPr/>
                  </pic:nvPicPr>
                  <pic:blipFill>
                    <a:blip r:embed="rId9"/>
                    <a:stretch>
                      <a:fillRect/>
                    </a:stretch>
                  </pic:blipFill>
                  <pic:spPr>
                    <a:xfrm>
                      <a:off x="0" y="0"/>
                      <a:ext cx="4866962" cy="6162202"/>
                    </a:xfrm>
                    <a:prstGeom prst="rect">
                      <a:avLst/>
                    </a:prstGeom>
                  </pic:spPr>
                </pic:pic>
              </a:graphicData>
            </a:graphic>
          </wp:inline>
        </w:drawing>
      </w:r>
    </w:p>
    <w:p w14:paraId="1816BA1C" w14:textId="3389B3F6" w:rsidR="007040D0" w:rsidRDefault="007040D0" w:rsidP="0057481C">
      <w:pPr>
        <w:spacing w:after="0" w:line="240" w:lineRule="auto"/>
        <w:jc w:val="both"/>
        <w:rPr>
          <w:rFonts w:ascii="Arial" w:hAnsi="Arial" w:cs="Arial"/>
          <w:sz w:val="24"/>
          <w:szCs w:val="24"/>
        </w:rPr>
      </w:pPr>
    </w:p>
    <w:p w14:paraId="44C9BF7B" w14:textId="3F3CFBB2" w:rsidR="00520263" w:rsidRDefault="00846220" w:rsidP="00846220">
      <w:pPr>
        <w:spacing w:after="0" w:line="240" w:lineRule="auto"/>
        <w:jc w:val="center"/>
        <w:rPr>
          <w:rFonts w:ascii="Arial" w:hAnsi="Arial" w:cs="Arial"/>
          <w:sz w:val="24"/>
          <w:szCs w:val="24"/>
        </w:rPr>
      </w:pPr>
      <w:r w:rsidRPr="00846220">
        <w:rPr>
          <w:rFonts w:ascii="Arial" w:hAnsi="Arial" w:cs="Arial"/>
          <w:noProof/>
          <w:sz w:val="24"/>
          <w:szCs w:val="24"/>
        </w:rPr>
        <w:lastRenderedPageBreak/>
        <w:drawing>
          <wp:inline distT="0" distB="0" distL="0" distR="0" wp14:anchorId="2190B368" wp14:editId="2B50F771">
            <wp:extent cx="4978400" cy="6303297"/>
            <wp:effectExtent l="0" t="0" r="0" b="2540"/>
            <wp:docPr id="2104785882"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85882" name="Imagen 1">
                      <a:extLst>
                        <a:ext uri="{C183D7F6-B498-43B3-948B-1728B52AA6E4}">
                          <adec:decorative xmlns:adec="http://schemas.microsoft.com/office/drawing/2017/decorative" val="1"/>
                        </a:ext>
                      </a:extLst>
                    </pic:cNvPr>
                    <pic:cNvPicPr/>
                  </pic:nvPicPr>
                  <pic:blipFill>
                    <a:blip r:embed="rId10"/>
                    <a:stretch>
                      <a:fillRect/>
                    </a:stretch>
                  </pic:blipFill>
                  <pic:spPr>
                    <a:xfrm>
                      <a:off x="0" y="0"/>
                      <a:ext cx="4985847" cy="6312725"/>
                    </a:xfrm>
                    <a:prstGeom prst="rect">
                      <a:avLst/>
                    </a:prstGeom>
                  </pic:spPr>
                </pic:pic>
              </a:graphicData>
            </a:graphic>
          </wp:inline>
        </w:drawing>
      </w:r>
    </w:p>
    <w:p w14:paraId="702F0857" w14:textId="7B8D90A4" w:rsidR="00846220" w:rsidRDefault="00846220" w:rsidP="00846220">
      <w:pPr>
        <w:spacing w:after="0" w:line="240" w:lineRule="auto"/>
        <w:jc w:val="center"/>
        <w:rPr>
          <w:rFonts w:ascii="Arial" w:hAnsi="Arial" w:cs="Arial"/>
          <w:sz w:val="24"/>
          <w:szCs w:val="24"/>
        </w:rPr>
      </w:pPr>
      <w:r w:rsidRPr="00846220">
        <w:rPr>
          <w:rFonts w:ascii="Arial" w:hAnsi="Arial" w:cs="Arial"/>
          <w:noProof/>
          <w:sz w:val="24"/>
          <w:szCs w:val="24"/>
        </w:rPr>
        <w:lastRenderedPageBreak/>
        <w:drawing>
          <wp:inline distT="0" distB="0" distL="0" distR="0" wp14:anchorId="00F2DE64" wp14:editId="70982AC7">
            <wp:extent cx="4991100" cy="6349565"/>
            <wp:effectExtent l="0" t="0" r="0" b="0"/>
            <wp:docPr id="191714931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49311" name="Imagen 1">
                      <a:extLst>
                        <a:ext uri="{C183D7F6-B498-43B3-948B-1728B52AA6E4}">
                          <adec:decorative xmlns:adec="http://schemas.microsoft.com/office/drawing/2017/decorative" val="1"/>
                        </a:ext>
                      </a:extLst>
                    </pic:cNvPr>
                    <pic:cNvPicPr/>
                  </pic:nvPicPr>
                  <pic:blipFill>
                    <a:blip r:embed="rId11"/>
                    <a:stretch>
                      <a:fillRect/>
                    </a:stretch>
                  </pic:blipFill>
                  <pic:spPr>
                    <a:xfrm>
                      <a:off x="0" y="0"/>
                      <a:ext cx="4997049" cy="6357133"/>
                    </a:xfrm>
                    <a:prstGeom prst="rect">
                      <a:avLst/>
                    </a:prstGeom>
                  </pic:spPr>
                </pic:pic>
              </a:graphicData>
            </a:graphic>
          </wp:inline>
        </w:drawing>
      </w:r>
    </w:p>
    <w:p w14:paraId="23FEDF47" w14:textId="64201CEA" w:rsidR="00846220" w:rsidRDefault="00846220" w:rsidP="00846220">
      <w:pPr>
        <w:spacing w:after="0" w:line="240" w:lineRule="auto"/>
        <w:jc w:val="center"/>
        <w:rPr>
          <w:rFonts w:ascii="Arial" w:hAnsi="Arial" w:cs="Arial"/>
          <w:sz w:val="24"/>
          <w:szCs w:val="24"/>
        </w:rPr>
      </w:pPr>
      <w:r w:rsidRPr="00846220">
        <w:rPr>
          <w:rFonts w:ascii="Arial" w:hAnsi="Arial" w:cs="Arial"/>
          <w:noProof/>
          <w:sz w:val="24"/>
          <w:szCs w:val="24"/>
        </w:rPr>
        <w:lastRenderedPageBreak/>
        <w:drawing>
          <wp:inline distT="0" distB="0" distL="0" distR="0" wp14:anchorId="3F021845" wp14:editId="65728AA1">
            <wp:extent cx="5175250" cy="5208585"/>
            <wp:effectExtent l="0" t="0" r="6350" b="0"/>
            <wp:docPr id="47744157"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4157" name="Imagen 1">
                      <a:extLst>
                        <a:ext uri="{C183D7F6-B498-43B3-948B-1728B52AA6E4}">
                          <adec:decorative xmlns:adec="http://schemas.microsoft.com/office/drawing/2017/decorative" val="1"/>
                        </a:ext>
                      </a:extLst>
                    </pic:cNvPr>
                    <pic:cNvPicPr/>
                  </pic:nvPicPr>
                  <pic:blipFill>
                    <a:blip r:embed="rId12"/>
                    <a:stretch>
                      <a:fillRect/>
                    </a:stretch>
                  </pic:blipFill>
                  <pic:spPr>
                    <a:xfrm>
                      <a:off x="0" y="0"/>
                      <a:ext cx="5186282" cy="5219688"/>
                    </a:xfrm>
                    <a:prstGeom prst="rect">
                      <a:avLst/>
                    </a:prstGeom>
                  </pic:spPr>
                </pic:pic>
              </a:graphicData>
            </a:graphic>
          </wp:inline>
        </w:drawing>
      </w:r>
    </w:p>
    <w:p w14:paraId="35708730" w14:textId="401120C3" w:rsidR="00846220" w:rsidRDefault="00767D57" w:rsidP="00846220">
      <w:pPr>
        <w:spacing w:after="0" w:line="240" w:lineRule="auto"/>
        <w:jc w:val="center"/>
        <w:rPr>
          <w:rFonts w:ascii="Arial" w:hAnsi="Arial" w:cs="Arial"/>
          <w:sz w:val="24"/>
          <w:szCs w:val="24"/>
        </w:rPr>
      </w:pPr>
      <w:r w:rsidRPr="00767D57">
        <w:rPr>
          <w:rFonts w:ascii="Arial" w:hAnsi="Arial" w:cs="Arial"/>
          <w:noProof/>
          <w:sz w:val="24"/>
          <w:szCs w:val="24"/>
        </w:rPr>
        <w:lastRenderedPageBreak/>
        <w:drawing>
          <wp:inline distT="0" distB="0" distL="0" distR="0" wp14:anchorId="6C22AC3C" wp14:editId="2365DDD1">
            <wp:extent cx="5403850" cy="5455561"/>
            <wp:effectExtent l="0" t="0" r="6350" b="0"/>
            <wp:docPr id="1569727815"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27815" name="Imagen 1">
                      <a:extLst>
                        <a:ext uri="{C183D7F6-B498-43B3-948B-1728B52AA6E4}">
                          <adec:decorative xmlns:adec="http://schemas.microsoft.com/office/drawing/2017/decorative" val="1"/>
                        </a:ext>
                      </a:extLst>
                    </pic:cNvPr>
                    <pic:cNvPicPr/>
                  </pic:nvPicPr>
                  <pic:blipFill>
                    <a:blip r:embed="rId13"/>
                    <a:stretch>
                      <a:fillRect/>
                    </a:stretch>
                  </pic:blipFill>
                  <pic:spPr>
                    <a:xfrm>
                      <a:off x="0" y="0"/>
                      <a:ext cx="5412370" cy="5464162"/>
                    </a:xfrm>
                    <a:prstGeom prst="rect">
                      <a:avLst/>
                    </a:prstGeom>
                  </pic:spPr>
                </pic:pic>
              </a:graphicData>
            </a:graphic>
          </wp:inline>
        </w:drawing>
      </w:r>
    </w:p>
    <w:p w14:paraId="612CFCC1" w14:textId="2186DB4D" w:rsidR="00767D57" w:rsidRDefault="00767D57" w:rsidP="00846220">
      <w:pPr>
        <w:spacing w:after="0" w:line="240" w:lineRule="auto"/>
        <w:jc w:val="center"/>
        <w:rPr>
          <w:rFonts w:ascii="Arial" w:hAnsi="Arial" w:cs="Arial"/>
          <w:sz w:val="24"/>
          <w:szCs w:val="24"/>
        </w:rPr>
      </w:pPr>
      <w:r w:rsidRPr="00767D57">
        <w:rPr>
          <w:rFonts w:ascii="Arial" w:hAnsi="Arial" w:cs="Arial"/>
          <w:noProof/>
          <w:sz w:val="24"/>
          <w:szCs w:val="24"/>
        </w:rPr>
        <w:lastRenderedPageBreak/>
        <w:drawing>
          <wp:inline distT="0" distB="0" distL="0" distR="0" wp14:anchorId="4D97E759" wp14:editId="67517C30">
            <wp:extent cx="5283200" cy="5181600"/>
            <wp:effectExtent l="0" t="0" r="0" b="0"/>
            <wp:docPr id="23091790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17906" name="Imagen 1">
                      <a:extLst>
                        <a:ext uri="{C183D7F6-B498-43B3-948B-1728B52AA6E4}">
                          <adec:decorative xmlns:adec="http://schemas.microsoft.com/office/drawing/2017/decorative" val="1"/>
                        </a:ext>
                      </a:extLst>
                    </pic:cNvPr>
                    <pic:cNvPicPr/>
                  </pic:nvPicPr>
                  <pic:blipFill>
                    <a:blip r:embed="rId14"/>
                    <a:stretch>
                      <a:fillRect/>
                    </a:stretch>
                  </pic:blipFill>
                  <pic:spPr>
                    <a:xfrm>
                      <a:off x="0" y="0"/>
                      <a:ext cx="5291705" cy="5189941"/>
                    </a:xfrm>
                    <a:prstGeom prst="rect">
                      <a:avLst/>
                    </a:prstGeom>
                  </pic:spPr>
                </pic:pic>
              </a:graphicData>
            </a:graphic>
          </wp:inline>
        </w:drawing>
      </w:r>
    </w:p>
    <w:p w14:paraId="2B890B91" w14:textId="04F20D6A" w:rsidR="00767D57" w:rsidRDefault="00767D57" w:rsidP="00846220">
      <w:pPr>
        <w:spacing w:after="0" w:line="240" w:lineRule="auto"/>
        <w:jc w:val="center"/>
        <w:rPr>
          <w:rFonts w:ascii="Arial" w:hAnsi="Arial" w:cs="Arial"/>
          <w:sz w:val="24"/>
          <w:szCs w:val="24"/>
        </w:rPr>
      </w:pPr>
      <w:r w:rsidRPr="00767D57">
        <w:rPr>
          <w:rFonts w:ascii="Arial" w:hAnsi="Arial" w:cs="Arial"/>
          <w:noProof/>
          <w:sz w:val="24"/>
          <w:szCs w:val="24"/>
        </w:rPr>
        <w:lastRenderedPageBreak/>
        <w:drawing>
          <wp:inline distT="0" distB="0" distL="0" distR="0" wp14:anchorId="54F96024" wp14:editId="3A3C65CA">
            <wp:extent cx="5270500" cy="5093127"/>
            <wp:effectExtent l="0" t="0" r="6350" b="0"/>
            <wp:docPr id="1045877405"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77405" name="Imagen 1">
                      <a:extLst>
                        <a:ext uri="{C183D7F6-B498-43B3-948B-1728B52AA6E4}">
                          <adec:decorative xmlns:adec="http://schemas.microsoft.com/office/drawing/2017/decorative" val="1"/>
                        </a:ext>
                      </a:extLst>
                    </pic:cNvPr>
                    <pic:cNvPicPr/>
                  </pic:nvPicPr>
                  <pic:blipFill>
                    <a:blip r:embed="rId15"/>
                    <a:stretch>
                      <a:fillRect/>
                    </a:stretch>
                  </pic:blipFill>
                  <pic:spPr>
                    <a:xfrm>
                      <a:off x="0" y="0"/>
                      <a:ext cx="5281847" cy="5104092"/>
                    </a:xfrm>
                    <a:prstGeom prst="rect">
                      <a:avLst/>
                    </a:prstGeom>
                  </pic:spPr>
                </pic:pic>
              </a:graphicData>
            </a:graphic>
          </wp:inline>
        </w:drawing>
      </w:r>
    </w:p>
    <w:p w14:paraId="3E5E383E" w14:textId="3F4B2E6D" w:rsidR="00520263" w:rsidRDefault="00520263" w:rsidP="0057481C">
      <w:pPr>
        <w:spacing w:after="0" w:line="240" w:lineRule="auto"/>
        <w:jc w:val="both"/>
        <w:rPr>
          <w:rFonts w:ascii="Arial" w:hAnsi="Arial" w:cs="Arial"/>
          <w:sz w:val="24"/>
          <w:szCs w:val="24"/>
        </w:rPr>
      </w:pPr>
    </w:p>
    <w:p w14:paraId="2B4684FF" w14:textId="30BC3508" w:rsidR="00520263" w:rsidRDefault="00520263" w:rsidP="0057481C">
      <w:pPr>
        <w:spacing w:after="0" w:line="240" w:lineRule="auto"/>
        <w:jc w:val="both"/>
        <w:rPr>
          <w:rFonts w:ascii="Arial" w:hAnsi="Arial" w:cs="Arial"/>
          <w:sz w:val="24"/>
          <w:szCs w:val="24"/>
        </w:rPr>
      </w:pPr>
    </w:p>
    <w:p w14:paraId="44E38B1F" w14:textId="39FCC271" w:rsidR="00520263" w:rsidRDefault="00520263" w:rsidP="0057481C">
      <w:pPr>
        <w:spacing w:after="0" w:line="240" w:lineRule="auto"/>
        <w:jc w:val="both"/>
        <w:rPr>
          <w:rFonts w:ascii="Arial" w:hAnsi="Arial" w:cs="Arial"/>
          <w:sz w:val="24"/>
          <w:szCs w:val="24"/>
        </w:rPr>
      </w:pPr>
    </w:p>
    <w:p w14:paraId="34482B4E" w14:textId="4240E01E" w:rsidR="005F3F21" w:rsidRDefault="005F3F21" w:rsidP="0057481C">
      <w:pPr>
        <w:spacing w:after="0" w:line="240" w:lineRule="auto"/>
        <w:jc w:val="both"/>
        <w:rPr>
          <w:rFonts w:ascii="Arial" w:hAnsi="Arial" w:cs="Arial"/>
          <w:sz w:val="24"/>
          <w:szCs w:val="24"/>
        </w:rPr>
      </w:pPr>
    </w:p>
    <w:p w14:paraId="1E543CCF" w14:textId="244D0670" w:rsidR="005F3F21" w:rsidRDefault="005F3F21" w:rsidP="0057481C">
      <w:pPr>
        <w:spacing w:after="0" w:line="240" w:lineRule="auto"/>
        <w:jc w:val="both"/>
        <w:rPr>
          <w:rFonts w:ascii="Arial" w:hAnsi="Arial" w:cs="Arial"/>
          <w:sz w:val="24"/>
          <w:szCs w:val="24"/>
        </w:rPr>
      </w:pPr>
    </w:p>
    <w:p w14:paraId="7C4651B8" w14:textId="77777777" w:rsidR="005F3F21" w:rsidRDefault="005F3F21">
      <w:pPr>
        <w:spacing w:after="160" w:line="259" w:lineRule="auto"/>
        <w:rPr>
          <w:rFonts w:ascii="Arial" w:hAnsi="Arial" w:cs="Arial"/>
          <w:sz w:val="24"/>
          <w:szCs w:val="24"/>
        </w:rPr>
      </w:pPr>
      <w:r>
        <w:rPr>
          <w:rFonts w:ascii="Arial" w:hAnsi="Arial" w:cs="Arial"/>
          <w:sz w:val="24"/>
          <w:szCs w:val="24"/>
        </w:rPr>
        <w:br w:type="page"/>
      </w:r>
    </w:p>
    <w:p w14:paraId="6A1DFD95" w14:textId="76173443" w:rsidR="0057481C" w:rsidRPr="0013408F" w:rsidRDefault="00311F5B" w:rsidP="0057481C">
      <w:pPr>
        <w:pStyle w:val="Ttulo2"/>
        <w:suppressAutoHyphens/>
        <w:spacing w:line="240" w:lineRule="auto"/>
        <w:jc w:val="both"/>
        <w:rPr>
          <w:bCs w:val="0"/>
          <w:lang w:eastAsia="es-ES"/>
        </w:rPr>
      </w:pPr>
      <w:bookmarkStart w:id="3" w:name="_Toc19106451"/>
      <w:bookmarkStart w:id="4" w:name="_Toc158698178"/>
      <w:bookmarkStart w:id="5" w:name="_Toc476062401"/>
      <w:r w:rsidRPr="0068039E">
        <w:rPr>
          <w:bCs w:val="0"/>
          <w:lang w:eastAsia="es-ES"/>
        </w:rPr>
        <w:lastRenderedPageBreak/>
        <w:t>Análisis De Amenazas Específica</w:t>
      </w:r>
      <w:bookmarkEnd w:id="3"/>
      <w:bookmarkEnd w:id="4"/>
      <w:bookmarkEnd w:id="5"/>
    </w:p>
    <w:bookmarkEnd w:id="0"/>
    <w:p w14:paraId="5A2FE721" w14:textId="405B8692" w:rsidR="002E7E83" w:rsidRDefault="002E7E83" w:rsidP="00E75E8D">
      <w:pPr>
        <w:spacing w:after="0" w:line="240" w:lineRule="auto"/>
        <w:rPr>
          <w:rFonts w:ascii="Arial" w:hAnsi="Arial" w:cs="Arial"/>
          <w:b/>
          <w:sz w:val="24"/>
          <w:szCs w:val="24"/>
          <w:u w:val="single"/>
        </w:rPr>
      </w:pPr>
    </w:p>
    <w:tbl>
      <w:tblPr>
        <w:tblW w:w="8966" w:type="dxa"/>
        <w:tblCellMar>
          <w:left w:w="70" w:type="dxa"/>
          <w:right w:w="70" w:type="dxa"/>
        </w:tblCellMar>
        <w:tblLook w:val="04A0" w:firstRow="1" w:lastRow="0" w:firstColumn="1" w:lastColumn="0" w:noHBand="0" w:noVBand="1"/>
      </w:tblPr>
      <w:tblGrid>
        <w:gridCol w:w="1838"/>
        <w:gridCol w:w="5528"/>
        <w:gridCol w:w="1600"/>
      </w:tblGrid>
      <w:tr w:rsidR="00D7394F" w:rsidRPr="00D7394F" w14:paraId="35A5A0A9" w14:textId="77777777" w:rsidTr="00D7394F">
        <w:trPr>
          <w:trHeight w:val="840"/>
        </w:trPr>
        <w:tc>
          <w:tcPr>
            <w:tcW w:w="1838" w:type="dxa"/>
            <w:tcBorders>
              <w:top w:val="single" w:sz="4" w:space="0" w:color="auto"/>
              <w:left w:val="single" w:sz="4" w:space="0" w:color="auto"/>
              <w:bottom w:val="nil"/>
              <w:right w:val="single" w:sz="4" w:space="0" w:color="auto"/>
            </w:tcBorders>
            <w:shd w:val="clear" w:color="000000" w:fill="C00000"/>
            <w:noWrap/>
            <w:vAlign w:val="center"/>
            <w:hideMark/>
          </w:tcPr>
          <w:p w14:paraId="2665B029" w14:textId="77777777" w:rsidR="00D7394F" w:rsidRPr="00D7394F" w:rsidRDefault="00D7394F" w:rsidP="00D7394F">
            <w:pPr>
              <w:spacing w:after="0" w:line="240" w:lineRule="auto"/>
              <w:jc w:val="center"/>
              <w:rPr>
                <w:rFonts w:ascii="Arial" w:eastAsia="Times New Roman" w:hAnsi="Arial" w:cs="Arial"/>
                <w:b/>
                <w:bCs/>
                <w:color w:val="FFFFFF"/>
                <w:sz w:val="18"/>
                <w:szCs w:val="18"/>
                <w:lang w:val="es-CO" w:eastAsia="es-CO"/>
              </w:rPr>
            </w:pPr>
            <w:r w:rsidRPr="00D7394F">
              <w:rPr>
                <w:rFonts w:ascii="Arial" w:eastAsia="Times New Roman" w:hAnsi="Arial" w:cs="Arial"/>
                <w:b/>
                <w:bCs/>
                <w:color w:val="FFFFFF"/>
                <w:sz w:val="18"/>
                <w:szCs w:val="18"/>
                <w:lang w:val="es-CO" w:eastAsia="es-CO"/>
              </w:rPr>
              <w:t>AMENAZA</w:t>
            </w:r>
          </w:p>
        </w:tc>
        <w:tc>
          <w:tcPr>
            <w:tcW w:w="5528" w:type="dxa"/>
            <w:tcBorders>
              <w:top w:val="single" w:sz="4" w:space="0" w:color="auto"/>
              <w:left w:val="nil"/>
              <w:bottom w:val="nil"/>
              <w:right w:val="single" w:sz="4" w:space="0" w:color="auto"/>
            </w:tcBorders>
            <w:shd w:val="clear" w:color="000000" w:fill="C00000"/>
            <w:noWrap/>
            <w:vAlign w:val="center"/>
            <w:hideMark/>
          </w:tcPr>
          <w:p w14:paraId="2623DA0E" w14:textId="77777777" w:rsidR="00D7394F" w:rsidRPr="00D7394F" w:rsidRDefault="00D7394F" w:rsidP="00D7394F">
            <w:pPr>
              <w:spacing w:after="0" w:line="240" w:lineRule="auto"/>
              <w:jc w:val="center"/>
              <w:rPr>
                <w:rFonts w:ascii="Arial" w:eastAsia="Times New Roman" w:hAnsi="Arial" w:cs="Arial"/>
                <w:b/>
                <w:bCs/>
                <w:color w:val="FFFFFF"/>
                <w:sz w:val="18"/>
                <w:szCs w:val="18"/>
                <w:lang w:val="es-CO" w:eastAsia="es-CO"/>
              </w:rPr>
            </w:pPr>
            <w:r w:rsidRPr="00D7394F">
              <w:rPr>
                <w:rFonts w:ascii="Arial" w:eastAsia="Times New Roman" w:hAnsi="Arial" w:cs="Arial"/>
                <w:b/>
                <w:bCs/>
                <w:color w:val="FFFFFF"/>
                <w:sz w:val="18"/>
                <w:szCs w:val="18"/>
                <w:lang w:val="es-CO" w:eastAsia="es-CO"/>
              </w:rPr>
              <w:t>DESCRIPCIÓN DE LA AMENAZA</w:t>
            </w:r>
          </w:p>
        </w:tc>
        <w:tc>
          <w:tcPr>
            <w:tcW w:w="1600" w:type="dxa"/>
            <w:tcBorders>
              <w:top w:val="single" w:sz="4" w:space="0" w:color="auto"/>
              <w:left w:val="nil"/>
              <w:bottom w:val="nil"/>
              <w:right w:val="single" w:sz="4" w:space="0" w:color="auto"/>
            </w:tcBorders>
            <w:shd w:val="clear" w:color="000000" w:fill="C00000"/>
            <w:vAlign w:val="center"/>
            <w:hideMark/>
          </w:tcPr>
          <w:p w14:paraId="487117AA" w14:textId="77777777" w:rsidR="00D7394F" w:rsidRPr="00D7394F" w:rsidRDefault="00D7394F" w:rsidP="00D7394F">
            <w:pPr>
              <w:spacing w:after="0" w:line="240" w:lineRule="auto"/>
              <w:jc w:val="center"/>
              <w:rPr>
                <w:rFonts w:ascii="Arial" w:eastAsia="Times New Roman" w:hAnsi="Arial" w:cs="Arial"/>
                <w:b/>
                <w:bCs/>
                <w:color w:val="FFFFFF"/>
                <w:sz w:val="18"/>
                <w:szCs w:val="18"/>
                <w:lang w:val="es-CO" w:eastAsia="es-CO"/>
              </w:rPr>
            </w:pPr>
            <w:r w:rsidRPr="00D7394F">
              <w:rPr>
                <w:rFonts w:ascii="Arial" w:eastAsia="Times New Roman" w:hAnsi="Arial" w:cs="Arial"/>
                <w:b/>
                <w:bCs/>
                <w:color w:val="FFFFFF"/>
                <w:sz w:val="18"/>
                <w:szCs w:val="18"/>
                <w:lang w:val="es-CO" w:eastAsia="es-CO"/>
              </w:rPr>
              <w:t xml:space="preserve">CALIFICACIÓN DE LA AMENAZA </w:t>
            </w:r>
          </w:p>
        </w:tc>
      </w:tr>
      <w:tr w:rsidR="00D7394F" w:rsidRPr="00D7394F" w14:paraId="3C9AEDFA"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2E114D4F"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Movimientos sísmicos</w:t>
            </w:r>
          </w:p>
        </w:tc>
        <w:tc>
          <w:tcPr>
            <w:tcW w:w="5528" w:type="dxa"/>
            <w:tcBorders>
              <w:top w:val="single" w:sz="4" w:space="0" w:color="auto"/>
              <w:left w:val="nil"/>
              <w:bottom w:val="single" w:sz="4" w:space="0" w:color="auto"/>
              <w:right w:val="single" w:sz="4" w:space="0" w:color="auto"/>
            </w:tcBorders>
            <w:vAlign w:val="center"/>
            <w:hideMark/>
          </w:tcPr>
          <w:p w14:paraId="68CFA856"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Probables movimientos vibratorios, rápidos y violentos de la superficie terrestre, provocados por perturbaciones en el interior de la Tierra (choque de placas tectónicas) Último sismo fuerte: 17.08.2023 - Magnitud: 6,3</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179E6E1"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6555FD85" w14:textId="77777777" w:rsidTr="00D7394F">
        <w:trPr>
          <w:trHeight w:val="1785"/>
        </w:trPr>
        <w:tc>
          <w:tcPr>
            <w:tcW w:w="1838" w:type="dxa"/>
            <w:tcBorders>
              <w:top w:val="single" w:sz="4" w:space="0" w:color="auto"/>
              <w:left w:val="single" w:sz="4" w:space="0" w:color="auto"/>
              <w:bottom w:val="single" w:sz="4" w:space="0" w:color="auto"/>
              <w:right w:val="single" w:sz="4" w:space="0" w:color="auto"/>
            </w:tcBorders>
            <w:vAlign w:val="center"/>
            <w:hideMark/>
          </w:tcPr>
          <w:p w14:paraId="1EA8580E"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Vientos fuertes</w:t>
            </w:r>
          </w:p>
        </w:tc>
        <w:tc>
          <w:tcPr>
            <w:tcW w:w="5528" w:type="dxa"/>
            <w:tcBorders>
              <w:top w:val="nil"/>
              <w:left w:val="nil"/>
              <w:bottom w:val="single" w:sz="4" w:space="0" w:color="auto"/>
              <w:right w:val="single" w:sz="4" w:space="0" w:color="auto"/>
            </w:tcBorders>
            <w:vAlign w:val="center"/>
            <w:hideMark/>
          </w:tcPr>
          <w:p w14:paraId="3B46D3EC"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Aumento de la intensidad de los vientos durante intervalos cortos de tiempo, con valores superiores a 46 kph. Pueden causar daños a edificaciones, especialmente a cubiertas, tejas y ventanas; caída de árboles y objetos</w:t>
            </w:r>
            <w:proofErr w:type="gramStart"/>
            <w:r w:rsidRPr="00D7394F">
              <w:rPr>
                <w:rFonts w:ascii="Arial" w:eastAsia="Times New Roman" w:hAnsi="Arial" w:cs="Arial"/>
                <w:lang w:val="es-CO" w:eastAsia="es-CO"/>
              </w:rPr>
              <w:t>. .</w:t>
            </w:r>
            <w:proofErr w:type="gramEnd"/>
            <w:r w:rsidRPr="00D7394F">
              <w:rPr>
                <w:rFonts w:ascii="Arial" w:eastAsia="Times New Roman" w:hAnsi="Arial" w:cs="Arial"/>
                <w:lang w:val="es-CO" w:eastAsia="es-CO"/>
              </w:rPr>
              <w:t xml:space="preserve"> (En Julio y </w:t>
            </w:r>
            <w:proofErr w:type="gramStart"/>
            <w:r w:rsidRPr="00D7394F">
              <w:rPr>
                <w:rFonts w:ascii="Arial" w:eastAsia="Times New Roman" w:hAnsi="Arial" w:cs="Arial"/>
                <w:lang w:val="es-CO" w:eastAsia="es-CO"/>
              </w:rPr>
              <w:t>Agosto</w:t>
            </w:r>
            <w:proofErr w:type="gramEnd"/>
            <w:r w:rsidRPr="00D7394F">
              <w:rPr>
                <w:rFonts w:ascii="Arial" w:eastAsia="Times New Roman" w:hAnsi="Arial" w:cs="Arial"/>
                <w:lang w:val="es-CO" w:eastAsia="es-CO"/>
              </w:rPr>
              <w:t xml:space="preserve"> se incrementan los vientos fuertes en Bogotá)</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3CDF79"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63DF19F8"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2EEBCBFB"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Tormenta eléctrica (descarga eléctrica)</w:t>
            </w:r>
          </w:p>
        </w:tc>
        <w:tc>
          <w:tcPr>
            <w:tcW w:w="5528" w:type="dxa"/>
            <w:tcBorders>
              <w:top w:val="nil"/>
              <w:left w:val="nil"/>
              <w:bottom w:val="single" w:sz="4" w:space="0" w:color="auto"/>
              <w:right w:val="single" w:sz="4" w:space="0" w:color="auto"/>
            </w:tcBorders>
            <w:vAlign w:val="center"/>
            <w:hideMark/>
          </w:tcPr>
          <w:p w14:paraId="26FD2EE8"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Las tormentas eléctricas son descargas violentas de electricidad atmosférica, que se manifiestan con rayos o chispas, emiten un resplandor breve de relámpago (luz) y un trueno (sonido)</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9FD4223"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62DCEBA8"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00F43675"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Encharcamiento</w:t>
            </w:r>
          </w:p>
        </w:tc>
        <w:tc>
          <w:tcPr>
            <w:tcW w:w="5528" w:type="dxa"/>
            <w:tcBorders>
              <w:top w:val="nil"/>
              <w:left w:val="nil"/>
              <w:bottom w:val="single" w:sz="4" w:space="0" w:color="auto"/>
              <w:right w:val="single" w:sz="4" w:space="0" w:color="auto"/>
            </w:tcBorders>
            <w:vAlign w:val="center"/>
            <w:hideMark/>
          </w:tcPr>
          <w:p w14:paraId="33D9E78B" w14:textId="533B0399"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Una inundación se produce cuando hay un rápido crecimiento del nivel del agua que cubre o llena determinadas áreas.</w:t>
            </w:r>
            <w:r>
              <w:rPr>
                <w:rFonts w:ascii="Arial" w:eastAsia="Times New Roman" w:hAnsi="Arial" w:cs="Arial"/>
                <w:lang w:val="es-CO" w:eastAsia="es-CO"/>
              </w:rPr>
              <w:t xml:space="preserve"> </w:t>
            </w:r>
            <w:r w:rsidRPr="00D7394F">
              <w:rPr>
                <w:rFonts w:ascii="Arial" w:eastAsia="Times New Roman" w:hAnsi="Arial" w:cs="Arial"/>
                <w:lang w:val="es-CO" w:eastAsia="es-CO"/>
              </w:rPr>
              <w:t>Los encharcamientos se pres</w:t>
            </w:r>
            <w:r>
              <w:rPr>
                <w:rFonts w:ascii="Arial" w:eastAsia="Times New Roman" w:hAnsi="Arial" w:cs="Arial"/>
                <w:lang w:val="es-CO" w:eastAsia="es-CO"/>
              </w:rPr>
              <w:t>enta</w:t>
            </w:r>
            <w:r w:rsidRPr="00D7394F">
              <w:rPr>
                <w:rFonts w:ascii="Arial" w:eastAsia="Times New Roman" w:hAnsi="Arial" w:cs="Arial"/>
                <w:lang w:val="es-CO" w:eastAsia="es-CO"/>
              </w:rPr>
              <w:t>n en las instalaciones en el lugar del parqueadero de</w:t>
            </w:r>
            <w:r>
              <w:rPr>
                <w:rFonts w:ascii="Arial" w:eastAsia="Times New Roman" w:hAnsi="Arial" w:cs="Arial"/>
                <w:lang w:val="es-CO" w:eastAsia="es-CO"/>
              </w:rPr>
              <w:t xml:space="preserve"> </w:t>
            </w:r>
            <w:proofErr w:type="spellStart"/>
            <w:r w:rsidRPr="00D7394F">
              <w:rPr>
                <w:rFonts w:ascii="Arial" w:eastAsia="Times New Roman" w:hAnsi="Arial" w:cs="Arial"/>
                <w:lang w:val="es-CO" w:eastAsia="es-CO"/>
              </w:rPr>
              <w:t>ve</w:t>
            </w:r>
            <w:r>
              <w:rPr>
                <w:rFonts w:ascii="Arial" w:eastAsia="Times New Roman" w:hAnsi="Arial" w:cs="Arial"/>
                <w:lang w:val="es-CO" w:eastAsia="es-CO"/>
              </w:rPr>
              <w:t>h</w:t>
            </w:r>
            <w:r w:rsidRPr="00D7394F">
              <w:rPr>
                <w:rFonts w:ascii="Arial" w:eastAsia="Times New Roman" w:hAnsi="Arial" w:cs="Arial"/>
                <w:lang w:val="es-CO" w:eastAsia="es-CO"/>
              </w:rPr>
              <w:t>iculos</w:t>
            </w:r>
            <w:proofErr w:type="spellEnd"/>
            <w:r w:rsidRPr="00D7394F">
              <w:rPr>
                <w:rFonts w:ascii="Arial" w:eastAsia="Times New Roman" w:hAnsi="Arial" w:cs="Arial"/>
                <w:lang w:val="es-CO" w:eastAsia="es-CO"/>
              </w:rPr>
              <w:t xml:space="preserve"> particulares</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948C73"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3E1318C1"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50498650"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 xml:space="preserve">Enfermedades </w:t>
            </w:r>
            <w:proofErr w:type="spellStart"/>
            <w:r w:rsidRPr="00D7394F">
              <w:rPr>
                <w:rFonts w:ascii="Arial" w:eastAsia="Times New Roman" w:hAnsi="Arial" w:cs="Arial"/>
                <w:lang w:val="es-CO" w:eastAsia="es-CO"/>
              </w:rPr>
              <w:t>endemicas</w:t>
            </w:r>
            <w:proofErr w:type="spellEnd"/>
          </w:p>
        </w:tc>
        <w:tc>
          <w:tcPr>
            <w:tcW w:w="5528" w:type="dxa"/>
            <w:tcBorders>
              <w:top w:val="nil"/>
              <w:left w:val="nil"/>
              <w:bottom w:val="single" w:sz="4" w:space="0" w:color="auto"/>
              <w:right w:val="single" w:sz="4" w:space="0" w:color="auto"/>
            </w:tcBorders>
            <w:vAlign w:val="center"/>
            <w:hideMark/>
          </w:tcPr>
          <w:p w14:paraId="2FB295B0"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En el campo de la medicina, describe una enfermedad que está constantemente presente en cierta región geográfica o en cierto grupo de personas.</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25469E"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35B5259B" w14:textId="77777777" w:rsidTr="00D7394F">
        <w:trPr>
          <w:trHeight w:val="3030"/>
        </w:trPr>
        <w:tc>
          <w:tcPr>
            <w:tcW w:w="1838" w:type="dxa"/>
            <w:tcBorders>
              <w:top w:val="single" w:sz="4" w:space="0" w:color="auto"/>
              <w:left w:val="single" w:sz="4" w:space="0" w:color="auto"/>
              <w:bottom w:val="single" w:sz="4" w:space="0" w:color="auto"/>
              <w:right w:val="single" w:sz="4" w:space="0" w:color="auto"/>
            </w:tcBorders>
            <w:vAlign w:val="center"/>
            <w:hideMark/>
          </w:tcPr>
          <w:p w14:paraId="7DA9799A"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 xml:space="preserve">Pandemias </w:t>
            </w:r>
          </w:p>
        </w:tc>
        <w:tc>
          <w:tcPr>
            <w:tcW w:w="5528" w:type="dxa"/>
            <w:tcBorders>
              <w:top w:val="nil"/>
              <w:left w:val="nil"/>
              <w:bottom w:val="single" w:sz="4" w:space="0" w:color="auto"/>
              <w:right w:val="single" w:sz="4" w:space="0" w:color="auto"/>
            </w:tcBorders>
            <w:vAlign w:val="center"/>
            <w:hideMark/>
          </w:tcPr>
          <w:p w14:paraId="69AB12D0"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Una pandemia es una enfermedad infecciosa que se propaga a nivel global, afectando a un gran número de personas en múltiples países o regiones. Se caracteriza por la rápida propagación del agente patógeno, que puede ser un virus, bacteria u otro microorganismo, y la capacidad de causar una amplia gama de casos, desde leves hasta graves. Las pandemias pueden tener un impacto significativo en la salud pública, la sociedad y la economía, y su control a menudo requiere medidas de salud pública coordinadas a nivel internacional.</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FD97CB"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0328AC59"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01708381"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lastRenderedPageBreak/>
              <w:t>Granizadas</w:t>
            </w:r>
          </w:p>
        </w:tc>
        <w:tc>
          <w:tcPr>
            <w:tcW w:w="5528" w:type="dxa"/>
            <w:tcBorders>
              <w:top w:val="nil"/>
              <w:left w:val="nil"/>
              <w:bottom w:val="single" w:sz="4" w:space="0" w:color="auto"/>
              <w:right w:val="single" w:sz="4" w:space="0" w:color="auto"/>
            </w:tcBorders>
            <w:vAlign w:val="center"/>
            <w:hideMark/>
          </w:tcPr>
          <w:p w14:paraId="54719752"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 xml:space="preserve">El granizo, por lo tanto, es una precipitación sólida. Se compone de pequeñas esferas de hielo, con un diámetro habitual de entre cinco y cincuenta milímetros. El granizo se genera en las nubes de tipo cumulonimbo, las instalaciones en el </w:t>
            </w:r>
            <w:proofErr w:type="spellStart"/>
            <w:r w:rsidRPr="00D7394F">
              <w:rPr>
                <w:rFonts w:ascii="Arial" w:eastAsia="Times New Roman" w:hAnsi="Arial" w:cs="Arial"/>
                <w:lang w:val="es-CO" w:eastAsia="es-CO"/>
              </w:rPr>
              <w:t>area</w:t>
            </w:r>
            <w:proofErr w:type="spellEnd"/>
            <w:r w:rsidRPr="00D7394F">
              <w:rPr>
                <w:rFonts w:ascii="Arial" w:eastAsia="Times New Roman" w:hAnsi="Arial" w:cs="Arial"/>
                <w:lang w:val="es-CO" w:eastAsia="es-CO"/>
              </w:rPr>
              <w:t xml:space="preserve"> </w:t>
            </w:r>
            <w:proofErr w:type="gramStart"/>
            <w:r w:rsidRPr="00D7394F">
              <w:rPr>
                <w:rFonts w:ascii="Arial" w:eastAsia="Times New Roman" w:hAnsi="Arial" w:cs="Arial"/>
                <w:lang w:val="es-CO" w:eastAsia="es-CO"/>
              </w:rPr>
              <w:t>del  GYM</w:t>
            </w:r>
            <w:proofErr w:type="gramEnd"/>
            <w:r w:rsidRPr="00D7394F">
              <w:rPr>
                <w:rFonts w:ascii="Arial" w:eastAsia="Times New Roman" w:hAnsi="Arial" w:cs="Arial"/>
                <w:lang w:val="es-CO" w:eastAsia="es-CO"/>
              </w:rPr>
              <w:t xml:space="preserve"> no se </w:t>
            </w:r>
            <w:proofErr w:type="spellStart"/>
            <w:r w:rsidRPr="00D7394F">
              <w:rPr>
                <w:rFonts w:ascii="Arial" w:eastAsia="Times New Roman" w:hAnsi="Arial" w:cs="Arial"/>
                <w:lang w:val="es-CO" w:eastAsia="es-CO"/>
              </w:rPr>
              <w:t>ecneunan</w:t>
            </w:r>
            <w:proofErr w:type="spellEnd"/>
            <w:r w:rsidRPr="00D7394F">
              <w:rPr>
                <w:rFonts w:ascii="Arial" w:eastAsia="Times New Roman" w:hAnsi="Arial" w:cs="Arial"/>
                <w:lang w:val="es-CO" w:eastAsia="es-CO"/>
              </w:rPr>
              <w:t xml:space="preserve"> </w:t>
            </w:r>
            <w:proofErr w:type="spellStart"/>
            <w:r w:rsidRPr="00D7394F">
              <w:rPr>
                <w:rFonts w:ascii="Arial" w:eastAsia="Times New Roman" w:hAnsi="Arial" w:cs="Arial"/>
                <w:lang w:val="es-CO" w:eastAsia="es-CO"/>
              </w:rPr>
              <w:t>cubiertan</w:t>
            </w:r>
            <w:proofErr w:type="spellEnd"/>
            <w:r w:rsidRPr="00D7394F">
              <w:rPr>
                <w:rFonts w:ascii="Arial" w:eastAsia="Times New Roman" w:hAnsi="Arial" w:cs="Arial"/>
                <w:lang w:val="es-CO" w:eastAsia="es-CO"/>
              </w:rPr>
              <w:t xml:space="preserve"> completamente cuando se presentan granizadas este se </w:t>
            </w:r>
            <w:proofErr w:type="spellStart"/>
            <w:r w:rsidRPr="00D7394F">
              <w:rPr>
                <w:rFonts w:ascii="Arial" w:eastAsia="Times New Roman" w:hAnsi="Arial" w:cs="Arial"/>
                <w:lang w:val="es-CO" w:eastAsia="es-CO"/>
              </w:rPr>
              <w:t>presipita</w:t>
            </w:r>
            <w:proofErr w:type="spellEnd"/>
            <w:r w:rsidRPr="00D7394F">
              <w:rPr>
                <w:rFonts w:ascii="Arial" w:eastAsia="Times New Roman" w:hAnsi="Arial" w:cs="Arial"/>
                <w:lang w:val="es-CO" w:eastAsia="es-CO"/>
              </w:rPr>
              <w:t xml:space="preserve"> dentro de las instalaciones</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4C70C1E"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607C26F7" w14:textId="77777777" w:rsidTr="00D7394F">
        <w:trPr>
          <w:trHeight w:val="1935"/>
        </w:trPr>
        <w:tc>
          <w:tcPr>
            <w:tcW w:w="1838" w:type="dxa"/>
            <w:tcBorders>
              <w:top w:val="nil"/>
              <w:left w:val="single" w:sz="4" w:space="0" w:color="auto"/>
              <w:bottom w:val="single" w:sz="4" w:space="0" w:color="auto"/>
              <w:right w:val="single" w:sz="4" w:space="0" w:color="auto"/>
            </w:tcBorders>
            <w:vAlign w:val="center"/>
            <w:hideMark/>
          </w:tcPr>
          <w:p w14:paraId="4A6896D1"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Presencia de Materiales Peligrosos (Fuga y/o derrame de productos químicos)</w:t>
            </w:r>
          </w:p>
        </w:tc>
        <w:tc>
          <w:tcPr>
            <w:tcW w:w="5528" w:type="dxa"/>
            <w:tcBorders>
              <w:top w:val="nil"/>
              <w:left w:val="nil"/>
              <w:bottom w:val="single" w:sz="4" w:space="0" w:color="auto"/>
              <w:right w:val="single" w:sz="4" w:space="0" w:color="auto"/>
            </w:tcBorders>
            <w:vAlign w:val="center"/>
            <w:hideMark/>
          </w:tcPr>
          <w:p w14:paraId="296EAA85"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Se refiere a la identificación y gestión de situaciones en las que existe la posibilidad de fuga y/o derrame de productos químicos peligrosos. Esto puede incluir la evaluación de riesgos, la contención de la sustancia derramada y la implementación de medidas para proteger a las personas y el medio ambiente.</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5906B96"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25D69A36" w14:textId="77777777" w:rsidTr="00D7394F">
        <w:trPr>
          <w:trHeight w:val="1605"/>
        </w:trPr>
        <w:tc>
          <w:tcPr>
            <w:tcW w:w="1838" w:type="dxa"/>
            <w:tcBorders>
              <w:top w:val="single" w:sz="4" w:space="0" w:color="auto"/>
              <w:left w:val="single" w:sz="4" w:space="0" w:color="auto"/>
              <w:bottom w:val="single" w:sz="4" w:space="0" w:color="auto"/>
              <w:right w:val="single" w:sz="4" w:space="0" w:color="auto"/>
            </w:tcBorders>
            <w:vAlign w:val="center"/>
            <w:hideMark/>
          </w:tcPr>
          <w:p w14:paraId="15EFCAE4"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Incendio</w:t>
            </w:r>
          </w:p>
        </w:tc>
        <w:tc>
          <w:tcPr>
            <w:tcW w:w="5528" w:type="dxa"/>
            <w:tcBorders>
              <w:top w:val="nil"/>
              <w:left w:val="nil"/>
              <w:bottom w:val="single" w:sz="4" w:space="0" w:color="auto"/>
              <w:right w:val="single" w:sz="4" w:space="0" w:color="auto"/>
            </w:tcBorders>
            <w:vAlign w:val="center"/>
            <w:hideMark/>
          </w:tcPr>
          <w:p w14:paraId="2B475BA7"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Un incendio es un evento no controlado de fuego que puede causar daño a propiedades, personas y el entorno.</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B93F2CD"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POSIBLE</w:t>
            </w:r>
          </w:p>
        </w:tc>
      </w:tr>
      <w:tr w:rsidR="00D7394F" w:rsidRPr="00D7394F" w14:paraId="5DBC48A5" w14:textId="77777777" w:rsidTr="00D7394F">
        <w:trPr>
          <w:trHeight w:val="1410"/>
        </w:trPr>
        <w:tc>
          <w:tcPr>
            <w:tcW w:w="1838" w:type="dxa"/>
            <w:tcBorders>
              <w:top w:val="single" w:sz="4" w:space="0" w:color="auto"/>
              <w:left w:val="single" w:sz="4" w:space="0" w:color="auto"/>
              <w:bottom w:val="single" w:sz="4" w:space="0" w:color="auto"/>
              <w:right w:val="single" w:sz="4" w:space="0" w:color="auto"/>
            </w:tcBorders>
            <w:vAlign w:val="center"/>
            <w:hideMark/>
          </w:tcPr>
          <w:p w14:paraId="34E6C749"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Fallas estructurales</w:t>
            </w:r>
          </w:p>
        </w:tc>
        <w:tc>
          <w:tcPr>
            <w:tcW w:w="5528" w:type="dxa"/>
            <w:tcBorders>
              <w:top w:val="nil"/>
              <w:left w:val="nil"/>
              <w:bottom w:val="single" w:sz="4" w:space="0" w:color="auto"/>
              <w:right w:val="single" w:sz="4" w:space="0" w:color="auto"/>
            </w:tcBorders>
            <w:vAlign w:val="center"/>
            <w:hideMark/>
          </w:tcPr>
          <w:p w14:paraId="147801CE"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Las fallas estructurales se refieren a la pérdida de integridad o estabilidad de edificios, puentes u otras estructuras.</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AE9FDD9"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298BF5EB" w14:textId="77777777" w:rsidTr="00D7394F">
        <w:trPr>
          <w:trHeight w:val="1140"/>
        </w:trPr>
        <w:tc>
          <w:tcPr>
            <w:tcW w:w="1838" w:type="dxa"/>
            <w:tcBorders>
              <w:top w:val="single" w:sz="4" w:space="0" w:color="auto"/>
              <w:left w:val="single" w:sz="4" w:space="0" w:color="auto"/>
              <w:bottom w:val="single" w:sz="4" w:space="0" w:color="auto"/>
              <w:right w:val="single" w:sz="4" w:space="0" w:color="auto"/>
            </w:tcBorders>
            <w:vAlign w:val="center"/>
            <w:hideMark/>
          </w:tcPr>
          <w:p w14:paraId="1B3BC17A"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Incendio de vehículos</w:t>
            </w:r>
          </w:p>
        </w:tc>
        <w:tc>
          <w:tcPr>
            <w:tcW w:w="5528" w:type="dxa"/>
            <w:tcBorders>
              <w:top w:val="nil"/>
              <w:left w:val="nil"/>
              <w:bottom w:val="single" w:sz="4" w:space="0" w:color="auto"/>
              <w:right w:val="single" w:sz="4" w:space="0" w:color="auto"/>
            </w:tcBorders>
            <w:vAlign w:val="center"/>
            <w:hideMark/>
          </w:tcPr>
          <w:p w14:paraId="5E7A2F7F"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 xml:space="preserve">Son incendios que involucran vehículos, como automóviles, camiones o trenes. </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107D1499"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POSIBLE</w:t>
            </w:r>
          </w:p>
        </w:tc>
      </w:tr>
      <w:tr w:rsidR="00D7394F" w:rsidRPr="00D7394F" w14:paraId="397662B6" w14:textId="77777777" w:rsidTr="00D7394F">
        <w:trPr>
          <w:trHeight w:val="1395"/>
        </w:trPr>
        <w:tc>
          <w:tcPr>
            <w:tcW w:w="1838" w:type="dxa"/>
            <w:tcBorders>
              <w:top w:val="single" w:sz="4" w:space="0" w:color="auto"/>
              <w:left w:val="single" w:sz="4" w:space="0" w:color="auto"/>
              <w:bottom w:val="single" w:sz="4" w:space="0" w:color="auto"/>
              <w:right w:val="single" w:sz="4" w:space="0" w:color="auto"/>
            </w:tcBorders>
            <w:vAlign w:val="center"/>
            <w:hideMark/>
          </w:tcPr>
          <w:p w14:paraId="79660505"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Explosión</w:t>
            </w:r>
          </w:p>
        </w:tc>
        <w:tc>
          <w:tcPr>
            <w:tcW w:w="5528" w:type="dxa"/>
            <w:tcBorders>
              <w:top w:val="nil"/>
              <w:left w:val="nil"/>
              <w:bottom w:val="single" w:sz="4" w:space="0" w:color="auto"/>
              <w:right w:val="single" w:sz="4" w:space="0" w:color="auto"/>
            </w:tcBorders>
            <w:vAlign w:val="center"/>
            <w:hideMark/>
          </w:tcPr>
          <w:p w14:paraId="59DB8A0D"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Una explosión es la liberación súbita de energía en forma de calor, luz, presión y ruido.</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564BEAAA"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POSIBLE</w:t>
            </w:r>
          </w:p>
        </w:tc>
      </w:tr>
      <w:tr w:rsidR="00D7394F" w:rsidRPr="00D7394F" w14:paraId="05F3F930"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0DB5A9A0"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Eléctrico</w:t>
            </w:r>
          </w:p>
        </w:tc>
        <w:tc>
          <w:tcPr>
            <w:tcW w:w="5528" w:type="dxa"/>
            <w:tcBorders>
              <w:top w:val="nil"/>
              <w:left w:val="nil"/>
              <w:bottom w:val="single" w:sz="4" w:space="0" w:color="auto"/>
              <w:right w:val="single" w:sz="4" w:space="0" w:color="auto"/>
            </w:tcBorders>
            <w:vAlign w:val="center"/>
            <w:hideMark/>
          </w:tcPr>
          <w:p w14:paraId="0D3919DF"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 xml:space="preserve">Emergencias eléctricas pueden incluir cortocircuitos, electrocuciones o apagones, por </w:t>
            </w:r>
            <w:proofErr w:type="spellStart"/>
            <w:r w:rsidRPr="00D7394F">
              <w:rPr>
                <w:rFonts w:ascii="Arial" w:eastAsia="Times New Roman" w:hAnsi="Arial" w:cs="Arial"/>
                <w:lang w:val="es-CO" w:eastAsia="es-CO"/>
              </w:rPr>
              <w:t>conecciones</w:t>
            </w:r>
            <w:proofErr w:type="spellEnd"/>
            <w:r w:rsidRPr="00D7394F">
              <w:rPr>
                <w:rFonts w:ascii="Arial" w:eastAsia="Times New Roman" w:hAnsi="Arial" w:cs="Arial"/>
                <w:lang w:val="es-CO" w:eastAsia="es-CO"/>
              </w:rPr>
              <w:t xml:space="preserve"> </w:t>
            </w:r>
            <w:proofErr w:type="spellStart"/>
            <w:r w:rsidRPr="00D7394F">
              <w:rPr>
                <w:rFonts w:ascii="Arial" w:eastAsia="Times New Roman" w:hAnsi="Arial" w:cs="Arial"/>
                <w:lang w:val="es-CO" w:eastAsia="es-CO"/>
              </w:rPr>
              <w:t>electricas</w:t>
            </w:r>
            <w:proofErr w:type="spellEnd"/>
            <w:r w:rsidRPr="00D7394F">
              <w:rPr>
                <w:rFonts w:ascii="Arial" w:eastAsia="Times New Roman" w:hAnsi="Arial" w:cs="Arial"/>
                <w:lang w:val="es-CO" w:eastAsia="es-CO"/>
              </w:rPr>
              <w:t xml:space="preserve"> deficientes, puntos de </w:t>
            </w:r>
            <w:proofErr w:type="spellStart"/>
            <w:r w:rsidRPr="00D7394F">
              <w:rPr>
                <w:rFonts w:ascii="Arial" w:eastAsia="Times New Roman" w:hAnsi="Arial" w:cs="Arial"/>
                <w:lang w:val="es-CO" w:eastAsia="es-CO"/>
              </w:rPr>
              <w:t>instakciones</w:t>
            </w:r>
            <w:proofErr w:type="spellEnd"/>
            <w:r w:rsidRPr="00D7394F">
              <w:rPr>
                <w:rFonts w:ascii="Arial" w:eastAsia="Times New Roman" w:hAnsi="Arial" w:cs="Arial"/>
                <w:lang w:val="es-CO" w:eastAsia="es-CO"/>
              </w:rPr>
              <w:t xml:space="preserve"> </w:t>
            </w:r>
            <w:proofErr w:type="spellStart"/>
            <w:r w:rsidRPr="00D7394F">
              <w:rPr>
                <w:rFonts w:ascii="Arial" w:eastAsia="Times New Roman" w:hAnsi="Arial" w:cs="Arial"/>
                <w:lang w:val="es-CO" w:eastAsia="es-CO"/>
              </w:rPr>
              <w:t>electricas</w:t>
            </w:r>
            <w:proofErr w:type="spellEnd"/>
            <w:r w:rsidRPr="00D7394F">
              <w:rPr>
                <w:rFonts w:ascii="Arial" w:eastAsia="Times New Roman" w:hAnsi="Arial" w:cs="Arial"/>
                <w:lang w:val="es-CO" w:eastAsia="es-CO"/>
              </w:rPr>
              <w:t xml:space="preserve"> </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A24312"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5A61C857" w14:textId="77777777" w:rsidTr="00D7394F">
        <w:trPr>
          <w:trHeight w:val="2985"/>
        </w:trPr>
        <w:tc>
          <w:tcPr>
            <w:tcW w:w="1838" w:type="dxa"/>
            <w:tcBorders>
              <w:top w:val="single" w:sz="4" w:space="0" w:color="auto"/>
              <w:left w:val="single" w:sz="4" w:space="0" w:color="auto"/>
              <w:bottom w:val="single" w:sz="4" w:space="0" w:color="auto"/>
              <w:right w:val="single" w:sz="4" w:space="0" w:color="auto"/>
            </w:tcBorders>
            <w:vAlign w:val="center"/>
            <w:hideMark/>
          </w:tcPr>
          <w:p w14:paraId="7BAB4C46"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lastRenderedPageBreak/>
              <w:t xml:space="preserve">Radiaciones </w:t>
            </w:r>
          </w:p>
        </w:tc>
        <w:tc>
          <w:tcPr>
            <w:tcW w:w="5528" w:type="dxa"/>
            <w:tcBorders>
              <w:top w:val="nil"/>
              <w:left w:val="nil"/>
              <w:bottom w:val="single" w:sz="4" w:space="0" w:color="auto"/>
              <w:right w:val="single" w:sz="4" w:space="0" w:color="auto"/>
            </w:tcBorders>
            <w:vAlign w:val="center"/>
            <w:hideMark/>
          </w:tcPr>
          <w:p w14:paraId="759A0F37"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Las radiaciones ionizantes son un tipo de radiación electromagnética o partículas subatómicas con suficiente energía para liberar electrones de átomos o moléculas, potencialmente causando daño en el ADN y aumentando el riesgo de cáncer. Las radiaciones no ionizantes, en contraste, tienen menos energía y no pueden liberar electrones; ejemplos incluyen luz visible, microondas y ondas de radio, siendo menos dañinas en general, pero aún pueden causar efectos adversos, como quemaduras solares o calentamiento de tejidos con exposición prolongada o intensa.</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2469F80"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POSIBLE</w:t>
            </w:r>
          </w:p>
        </w:tc>
      </w:tr>
      <w:tr w:rsidR="00D7394F" w:rsidRPr="00D7394F" w14:paraId="783C8AD5" w14:textId="77777777" w:rsidTr="00D7394F">
        <w:trPr>
          <w:trHeight w:val="1695"/>
        </w:trPr>
        <w:tc>
          <w:tcPr>
            <w:tcW w:w="1838" w:type="dxa"/>
            <w:tcBorders>
              <w:top w:val="single" w:sz="4" w:space="0" w:color="auto"/>
              <w:left w:val="single" w:sz="4" w:space="0" w:color="auto"/>
              <w:bottom w:val="single" w:sz="8" w:space="0" w:color="auto"/>
              <w:right w:val="single" w:sz="4" w:space="0" w:color="auto"/>
            </w:tcBorders>
            <w:vAlign w:val="center"/>
            <w:hideMark/>
          </w:tcPr>
          <w:p w14:paraId="744F9F73"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Mecánico</w:t>
            </w:r>
          </w:p>
        </w:tc>
        <w:tc>
          <w:tcPr>
            <w:tcW w:w="5528" w:type="dxa"/>
            <w:tcBorders>
              <w:top w:val="nil"/>
              <w:left w:val="nil"/>
              <w:bottom w:val="single" w:sz="8" w:space="0" w:color="auto"/>
              <w:right w:val="single" w:sz="4" w:space="0" w:color="auto"/>
            </w:tcBorders>
            <w:vAlign w:val="center"/>
            <w:hideMark/>
          </w:tcPr>
          <w:p w14:paraId="2DA4E38F"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Las emergencias mecánicas pueden involucrar accidentes de maquinaria, elevadores atascados o equipos pesados averiados.</w:t>
            </w:r>
          </w:p>
        </w:tc>
        <w:tc>
          <w:tcPr>
            <w:tcW w:w="1600" w:type="dxa"/>
            <w:tcBorders>
              <w:top w:val="nil"/>
              <w:left w:val="single" w:sz="4" w:space="0" w:color="auto"/>
              <w:bottom w:val="single" w:sz="4" w:space="0" w:color="auto"/>
              <w:right w:val="single" w:sz="4" w:space="0" w:color="auto"/>
            </w:tcBorders>
            <w:shd w:val="clear" w:color="000000" w:fill="FFFF00"/>
            <w:noWrap/>
            <w:vAlign w:val="center"/>
            <w:hideMark/>
          </w:tcPr>
          <w:p w14:paraId="29BAA444"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6B84D305" w14:textId="77777777" w:rsidTr="00D7394F">
        <w:trPr>
          <w:trHeight w:val="1400"/>
        </w:trPr>
        <w:tc>
          <w:tcPr>
            <w:tcW w:w="1838" w:type="dxa"/>
            <w:tcBorders>
              <w:top w:val="nil"/>
              <w:left w:val="single" w:sz="4" w:space="0" w:color="auto"/>
              <w:bottom w:val="single" w:sz="4" w:space="0" w:color="auto"/>
              <w:right w:val="single" w:sz="4" w:space="0" w:color="auto"/>
            </w:tcBorders>
            <w:vAlign w:val="center"/>
            <w:hideMark/>
          </w:tcPr>
          <w:p w14:paraId="45A70E2E"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Accidentes de tránsito internos</w:t>
            </w:r>
          </w:p>
        </w:tc>
        <w:tc>
          <w:tcPr>
            <w:tcW w:w="5528" w:type="dxa"/>
            <w:tcBorders>
              <w:top w:val="nil"/>
              <w:left w:val="nil"/>
              <w:bottom w:val="single" w:sz="4" w:space="0" w:color="auto"/>
              <w:right w:val="single" w:sz="4" w:space="0" w:color="auto"/>
            </w:tcBorders>
            <w:vAlign w:val="center"/>
            <w:hideMark/>
          </w:tcPr>
          <w:p w14:paraId="34D7DDD8"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Se refieren a colisiones, choques u otros incidentes que ocurren dentro de la organización.</w:t>
            </w:r>
          </w:p>
        </w:tc>
        <w:tc>
          <w:tcPr>
            <w:tcW w:w="1600" w:type="dxa"/>
            <w:tcBorders>
              <w:top w:val="nil"/>
              <w:left w:val="single" w:sz="4" w:space="0" w:color="auto"/>
              <w:bottom w:val="single" w:sz="4" w:space="0" w:color="auto"/>
              <w:right w:val="single" w:sz="4" w:space="0" w:color="auto"/>
            </w:tcBorders>
            <w:shd w:val="clear" w:color="000000" w:fill="00B050"/>
            <w:noWrap/>
            <w:vAlign w:val="center"/>
            <w:hideMark/>
          </w:tcPr>
          <w:p w14:paraId="586666DB"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POSIBLE</w:t>
            </w:r>
          </w:p>
        </w:tc>
      </w:tr>
      <w:tr w:rsidR="00D7394F" w:rsidRPr="00D7394F" w14:paraId="18E76D2C"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61A0637F"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Accidentes de tránsito externos</w:t>
            </w:r>
          </w:p>
        </w:tc>
        <w:tc>
          <w:tcPr>
            <w:tcW w:w="5528" w:type="dxa"/>
            <w:tcBorders>
              <w:top w:val="nil"/>
              <w:left w:val="nil"/>
              <w:bottom w:val="single" w:sz="4" w:space="0" w:color="auto"/>
              <w:right w:val="single" w:sz="4" w:space="0" w:color="auto"/>
            </w:tcBorders>
            <w:vAlign w:val="center"/>
            <w:hideMark/>
          </w:tcPr>
          <w:p w14:paraId="6115E291"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 xml:space="preserve">Son </w:t>
            </w:r>
            <w:proofErr w:type="spellStart"/>
            <w:r w:rsidRPr="00D7394F">
              <w:rPr>
                <w:rFonts w:ascii="Arial" w:eastAsia="Times New Roman" w:hAnsi="Arial" w:cs="Arial"/>
                <w:lang w:val="es-CO" w:eastAsia="es-CO"/>
              </w:rPr>
              <w:t>sinistros</w:t>
            </w:r>
            <w:proofErr w:type="spellEnd"/>
            <w:r w:rsidRPr="00D7394F">
              <w:rPr>
                <w:rFonts w:ascii="Arial" w:eastAsia="Times New Roman" w:hAnsi="Arial" w:cs="Arial"/>
                <w:lang w:val="es-CO" w:eastAsia="es-CO"/>
              </w:rPr>
              <w:t xml:space="preserve"> viales que involucran a vehículos que cruzan fronteras de la organización.</w:t>
            </w:r>
          </w:p>
        </w:tc>
        <w:tc>
          <w:tcPr>
            <w:tcW w:w="1600" w:type="dxa"/>
            <w:tcBorders>
              <w:top w:val="nil"/>
              <w:left w:val="single" w:sz="4" w:space="0" w:color="auto"/>
              <w:bottom w:val="single" w:sz="4" w:space="0" w:color="auto"/>
              <w:right w:val="single" w:sz="4" w:space="0" w:color="auto"/>
            </w:tcBorders>
            <w:shd w:val="clear" w:color="000000" w:fill="FFFF00"/>
            <w:noWrap/>
            <w:vAlign w:val="center"/>
            <w:hideMark/>
          </w:tcPr>
          <w:p w14:paraId="1FA1AFF1"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638277EE"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0153E271"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Accidentes mascotas y semovientes</w:t>
            </w:r>
          </w:p>
        </w:tc>
        <w:tc>
          <w:tcPr>
            <w:tcW w:w="5528" w:type="dxa"/>
            <w:tcBorders>
              <w:top w:val="nil"/>
              <w:left w:val="nil"/>
              <w:bottom w:val="single" w:sz="4" w:space="0" w:color="auto"/>
              <w:right w:val="single" w:sz="4" w:space="0" w:color="auto"/>
            </w:tcBorders>
            <w:vAlign w:val="center"/>
            <w:hideMark/>
          </w:tcPr>
          <w:p w14:paraId="0A22B809"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 xml:space="preserve">Aumento de accidentes por mordeduras por el </w:t>
            </w:r>
            <w:proofErr w:type="spellStart"/>
            <w:r w:rsidRPr="00D7394F">
              <w:rPr>
                <w:rFonts w:ascii="Arial" w:eastAsia="Times New Roman" w:hAnsi="Arial" w:cs="Arial"/>
                <w:lang w:val="es-CO" w:eastAsia="es-CO"/>
              </w:rPr>
              <w:t>area</w:t>
            </w:r>
            <w:proofErr w:type="spellEnd"/>
            <w:r w:rsidRPr="00D7394F">
              <w:rPr>
                <w:rFonts w:ascii="Arial" w:eastAsia="Times New Roman" w:hAnsi="Arial" w:cs="Arial"/>
                <w:lang w:val="es-CO" w:eastAsia="es-CO"/>
              </w:rPr>
              <w:t xml:space="preserve"> de </w:t>
            </w:r>
            <w:proofErr w:type="spellStart"/>
            <w:r w:rsidRPr="00D7394F">
              <w:rPr>
                <w:rFonts w:ascii="Arial" w:eastAsia="Times New Roman" w:hAnsi="Arial" w:cs="Arial"/>
                <w:lang w:val="es-CO" w:eastAsia="es-CO"/>
              </w:rPr>
              <w:t>cainos</w:t>
            </w:r>
            <w:proofErr w:type="spellEnd"/>
            <w:r w:rsidRPr="00D7394F">
              <w:rPr>
                <w:rFonts w:ascii="Arial" w:eastAsia="Times New Roman" w:hAnsi="Arial" w:cs="Arial"/>
                <w:lang w:val="es-CO" w:eastAsia="es-CO"/>
              </w:rPr>
              <w:t xml:space="preserve"> y veterinaria de los mismos en las instalaciones se refiere que ya se han </w:t>
            </w:r>
            <w:proofErr w:type="spellStart"/>
            <w:r w:rsidRPr="00D7394F">
              <w:rPr>
                <w:rFonts w:ascii="Arial" w:eastAsia="Times New Roman" w:hAnsi="Arial" w:cs="Arial"/>
                <w:lang w:val="es-CO" w:eastAsia="es-CO"/>
              </w:rPr>
              <w:t>presnetado</w:t>
            </w:r>
            <w:proofErr w:type="spellEnd"/>
            <w:r w:rsidRPr="00D7394F">
              <w:rPr>
                <w:rFonts w:ascii="Arial" w:eastAsia="Times New Roman" w:hAnsi="Arial" w:cs="Arial"/>
                <w:lang w:val="es-CO" w:eastAsia="es-CO"/>
              </w:rPr>
              <w:t xml:space="preserve"> </w:t>
            </w:r>
            <w:proofErr w:type="spellStart"/>
            <w:r w:rsidRPr="00D7394F">
              <w:rPr>
                <w:rFonts w:ascii="Arial" w:eastAsia="Times New Roman" w:hAnsi="Arial" w:cs="Arial"/>
                <w:lang w:val="es-CO" w:eastAsia="es-CO"/>
              </w:rPr>
              <w:t>aacidentes</w:t>
            </w:r>
            <w:proofErr w:type="spellEnd"/>
            <w:r w:rsidRPr="00D7394F">
              <w:rPr>
                <w:rFonts w:ascii="Arial" w:eastAsia="Times New Roman" w:hAnsi="Arial" w:cs="Arial"/>
                <w:lang w:val="es-CO" w:eastAsia="es-CO"/>
              </w:rPr>
              <w:t xml:space="preserve"> de este tipo</w:t>
            </w:r>
          </w:p>
        </w:tc>
        <w:tc>
          <w:tcPr>
            <w:tcW w:w="1600" w:type="dxa"/>
            <w:tcBorders>
              <w:top w:val="nil"/>
              <w:left w:val="single" w:sz="4" w:space="0" w:color="auto"/>
              <w:bottom w:val="single" w:sz="4" w:space="0" w:color="auto"/>
              <w:right w:val="single" w:sz="4" w:space="0" w:color="auto"/>
            </w:tcBorders>
            <w:shd w:val="clear" w:color="000000" w:fill="FFFF00"/>
            <w:noWrap/>
            <w:vAlign w:val="center"/>
            <w:hideMark/>
          </w:tcPr>
          <w:p w14:paraId="70FAE079"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4E0EB3AE" w14:textId="77777777" w:rsidTr="00D7394F">
        <w:trPr>
          <w:trHeight w:val="1845"/>
        </w:trPr>
        <w:tc>
          <w:tcPr>
            <w:tcW w:w="1838" w:type="dxa"/>
            <w:tcBorders>
              <w:top w:val="single" w:sz="4" w:space="0" w:color="auto"/>
              <w:left w:val="single" w:sz="4" w:space="0" w:color="auto"/>
              <w:bottom w:val="single" w:sz="4" w:space="0" w:color="auto"/>
              <w:right w:val="single" w:sz="4" w:space="0" w:color="auto"/>
            </w:tcBorders>
            <w:vAlign w:val="center"/>
            <w:hideMark/>
          </w:tcPr>
          <w:p w14:paraId="1F3FD256"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Acciones inseguras de actores viales / exceso de velocidad / exceso de confianza / Utilización de elementos distractores / Sueño</w:t>
            </w:r>
          </w:p>
        </w:tc>
        <w:tc>
          <w:tcPr>
            <w:tcW w:w="5528" w:type="dxa"/>
            <w:tcBorders>
              <w:top w:val="nil"/>
              <w:left w:val="nil"/>
              <w:bottom w:val="single" w:sz="4" w:space="0" w:color="auto"/>
              <w:right w:val="single" w:sz="4" w:space="0" w:color="auto"/>
            </w:tcBorders>
            <w:vAlign w:val="center"/>
            <w:hideMark/>
          </w:tcPr>
          <w:p w14:paraId="6E74DDCB"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Se refiere a comportamientos peligrosos o imprudentes por parte de conductores, peatones u otros usuarios de la vía pública que pueden contribuir a la ocurrencia de accidentes de tránsito, como exceso de velocidad, conducción bajo la influencia de sustancias, cruzar calles sin respetar señales de tráfico, entre otros.</w:t>
            </w:r>
          </w:p>
        </w:tc>
        <w:tc>
          <w:tcPr>
            <w:tcW w:w="1600" w:type="dxa"/>
            <w:tcBorders>
              <w:top w:val="nil"/>
              <w:left w:val="single" w:sz="4" w:space="0" w:color="auto"/>
              <w:bottom w:val="single" w:sz="4" w:space="0" w:color="auto"/>
              <w:right w:val="single" w:sz="4" w:space="0" w:color="auto"/>
            </w:tcBorders>
            <w:shd w:val="clear" w:color="000000" w:fill="FFFF00"/>
            <w:noWrap/>
            <w:vAlign w:val="center"/>
            <w:hideMark/>
          </w:tcPr>
          <w:p w14:paraId="146DA990"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11E20B90"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25100729"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lastRenderedPageBreak/>
              <w:t>Fallas del vehículo</w:t>
            </w:r>
          </w:p>
        </w:tc>
        <w:tc>
          <w:tcPr>
            <w:tcW w:w="5528" w:type="dxa"/>
            <w:tcBorders>
              <w:top w:val="nil"/>
              <w:left w:val="nil"/>
              <w:bottom w:val="single" w:sz="4" w:space="0" w:color="auto"/>
              <w:right w:val="single" w:sz="4" w:space="0" w:color="auto"/>
            </w:tcBorders>
            <w:vAlign w:val="center"/>
            <w:hideMark/>
          </w:tcPr>
          <w:p w14:paraId="72EF676A"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Son problemas mecánicos o técnicos en un vehículo que pueden causar un accidente o contribuir a su gravedad, como fallos en los frenos, neumáticos desgastados o problemas en el motor.</w:t>
            </w:r>
          </w:p>
        </w:tc>
        <w:tc>
          <w:tcPr>
            <w:tcW w:w="1600" w:type="dxa"/>
            <w:tcBorders>
              <w:top w:val="nil"/>
              <w:left w:val="single" w:sz="4" w:space="0" w:color="auto"/>
              <w:bottom w:val="single" w:sz="4" w:space="0" w:color="auto"/>
              <w:right w:val="single" w:sz="4" w:space="0" w:color="auto"/>
            </w:tcBorders>
            <w:shd w:val="clear" w:color="000000" w:fill="00B050"/>
            <w:noWrap/>
            <w:vAlign w:val="center"/>
            <w:hideMark/>
          </w:tcPr>
          <w:p w14:paraId="655F3E33"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POSIBLE</w:t>
            </w:r>
          </w:p>
        </w:tc>
      </w:tr>
      <w:tr w:rsidR="00D7394F" w:rsidRPr="00D7394F" w14:paraId="30AC74DD"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27E24F68"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Intensidad del tráfico</w:t>
            </w:r>
          </w:p>
        </w:tc>
        <w:tc>
          <w:tcPr>
            <w:tcW w:w="5528" w:type="dxa"/>
            <w:tcBorders>
              <w:top w:val="nil"/>
              <w:left w:val="nil"/>
              <w:bottom w:val="single" w:sz="4" w:space="0" w:color="auto"/>
              <w:right w:val="single" w:sz="4" w:space="0" w:color="auto"/>
            </w:tcBorders>
            <w:vAlign w:val="center"/>
            <w:hideMark/>
          </w:tcPr>
          <w:p w14:paraId="300D162F"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 xml:space="preserve"> Hace referencia a la cantidad de vehículos que circulan en una carretera o en una determinada área en un período de tiempo específico. Puede variar desde un tráfico ligero hasta un tráfico denso y congestionado.</w:t>
            </w:r>
          </w:p>
        </w:tc>
        <w:tc>
          <w:tcPr>
            <w:tcW w:w="1600" w:type="dxa"/>
            <w:tcBorders>
              <w:top w:val="nil"/>
              <w:left w:val="single" w:sz="4" w:space="0" w:color="auto"/>
              <w:bottom w:val="single" w:sz="4" w:space="0" w:color="auto"/>
              <w:right w:val="single" w:sz="4" w:space="0" w:color="auto"/>
            </w:tcBorders>
            <w:shd w:val="clear" w:color="000000" w:fill="FFFF00"/>
            <w:noWrap/>
            <w:vAlign w:val="center"/>
            <w:hideMark/>
          </w:tcPr>
          <w:p w14:paraId="0118D4E8"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099CEE4A"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630C1F0C"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 xml:space="preserve">Estado de la infraestructura vial / Falta de iluminación / Falta de señalización </w:t>
            </w:r>
          </w:p>
        </w:tc>
        <w:tc>
          <w:tcPr>
            <w:tcW w:w="5528" w:type="dxa"/>
            <w:tcBorders>
              <w:top w:val="nil"/>
              <w:left w:val="nil"/>
              <w:bottom w:val="single" w:sz="4" w:space="0" w:color="auto"/>
              <w:right w:val="single" w:sz="4" w:space="0" w:color="auto"/>
            </w:tcBorders>
            <w:vAlign w:val="center"/>
            <w:hideMark/>
          </w:tcPr>
          <w:p w14:paraId="630FEFC1"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 xml:space="preserve"> Estos términos se refieren a condiciones de la carretera o calle que pueden contribuir a accidentes, como el mal estado del pavimento, la falta de iluminación adecuada en la noche o la ausencia de señales de tráfico claras y adecuadas.</w:t>
            </w:r>
          </w:p>
        </w:tc>
        <w:tc>
          <w:tcPr>
            <w:tcW w:w="1600" w:type="dxa"/>
            <w:tcBorders>
              <w:top w:val="nil"/>
              <w:left w:val="single" w:sz="4" w:space="0" w:color="auto"/>
              <w:bottom w:val="single" w:sz="4" w:space="0" w:color="auto"/>
              <w:right w:val="single" w:sz="4" w:space="0" w:color="auto"/>
            </w:tcBorders>
            <w:shd w:val="clear" w:color="000000" w:fill="FFFF00"/>
            <w:noWrap/>
            <w:vAlign w:val="center"/>
            <w:hideMark/>
          </w:tcPr>
          <w:p w14:paraId="756D9FEB"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4A705D79"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646E405B"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 xml:space="preserve">Hurto </w:t>
            </w:r>
          </w:p>
        </w:tc>
        <w:tc>
          <w:tcPr>
            <w:tcW w:w="5528" w:type="dxa"/>
            <w:tcBorders>
              <w:top w:val="nil"/>
              <w:left w:val="nil"/>
              <w:bottom w:val="single" w:sz="4" w:space="0" w:color="auto"/>
              <w:right w:val="single" w:sz="4" w:space="0" w:color="auto"/>
            </w:tcBorders>
            <w:vAlign w:val="center"/>
            <w:hideMark/>
          </w:tcPr>
          <w:p w14:paraId="74A7DB17"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El hurto es un delito en el que una persona toma propiedad de otra sin su consentimiento y con la intención de apoderarse de ella permanentemente. El sector es propenso de asalto y hurto, se han evidenciado varios casos cerca de la sede</w:t>
            </w:r>
          </w:p>
        </w:tc>
        <w:tc>
          <w:tcPr>
            <w:tcW w:w="1600" w:type="dxa"/>
            <w:tcBorders>
              <w:top w:val="nil"/>
              <w:left w:val="single" w:sz="4" w:space="0" w:color="auto"/>
              <w:bottom w:val="single" w:sz="4" w:space="0" w:color="auto"/>
              <w:right w:val="single" w:sz="4" w:space="0" w:color="auto"/>
            </w:tcBorders>
            <w:shd w:val="clear" w:color="000000" w:fill="FFFF00"/>
            <w:noWrap/>
            <w:vAlign w:val="center"/>
            <w:hideMark/>
          </w:tcPr>
          <w:p w14:paraId="668D011B"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0D78B053" w14:textId="77777777" w:rsidTr="00D7394F">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53BEBDAD"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Asalto</w:t>
            </w:r>
          </w:p>
        </w:tc>
        <w:tc>
          <w:tcPr>
            <w:tcW w:w="5528" w:type="dxa"/>
            <w:tcBorders>
              <w:top w:val="nil"/>
              <w:left w:val="nil"/>
              <w:bottom w:val="single" w:sz="4" w:space="0" w:color="auto"/>
              <w:right w:val="single" w:sz="4" w:space="0" w:color="auto"/>
            </w:tcBorders>
            <w:vAlign w:val="center"/>
            <w:hideMark/>
          </w:tcPr>
          <w:p w14:paraId="577F8411"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Un asalto es un delito que involucra la amenaza o el uso de violencia, o el empleo de amenazas verbales o físicas, para llevar a cabo un robo u otro acto ilegal. A menudo, implica la confrontación directa con la víctima y la posibilidad de lesiones físicas.</w:t>
            </w:r>
          </w:p>
        </w:tc>
        <w:tc>
          <w:tcPr>
            <w:tcW w:w="1600" w:type="dxa"/>
            <w:tcBorders>
              <w:top w:val="nil"/>
              <w:left w:val="single" w:sz="4" w:space="0" w:color="auto"/>
              <w:bottom w:val="single" w:sz="4" w:space="0" w:color="auto"/>
              <w:right w:val="single" w:sz="4" w:space="0" w:color="auto"/>
            </w:tcBorders>
            <w:shd w:val="clear" w:color="000000" w:fill="FFFF00"/>
            <w:noWrap/>
            <w:vAlign w:val="center"/>
            <w:hideMark/>
          </w:tcPr>
          <w:p w14:paraId="51FA616F"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4E801A72" w14:textId="77777777" w:rsidTr="00D7394F">
        <w:trPr>
          <w:trHeight w:val="1995"/>
        </w:trPr>
        <w:tc>
          <w:tcPr>
            <w:tcW w:w="1838" w:type="dxa"/>
            <w:tcBorders>
              <w:top w:val="single" w:sz="4" w:space="0" w:color="auto"/>
              <w:left w:val="single" w:sz="4" w:space="0" w:color="auto"/>
              <w:bottom w:val="single" w:sz="4" w:space="0" w:color="auto"/>
              <w:right w:val="single" w:sz="4" w:space="0" w:color="auto"/>
            </w:tcBorders>
            <w:vAlign w:val="center"/>
            <w:hideMark/>
          </w:tcPr>
          <w:p w14:paraId="6A112130"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Secuestros</w:t>
            </w:r>
          </w:p>
        </w:tc>
        <w:tc>
          <w:tcPr>
            <w:tcW w:w="5528" w:type="dxa"/>
            <w:tcBorders>
              <w:top w:val="nil"/>
              <w:left w:val="nil"/>
              <w:bottom w:val="single" w:sz="4" w:space="0" w:color="auto"/>
              <w:right w:val="single" w:sz="4" w:space="0" w:color="auto"/>
            </w:tcBorders>
            <w:vAlign w:val="center"/>
            <w:hideMark/>
          </w:tcPr>
          <w:p w14:paraId="2E3321C1"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El secuestro es un delito en el que una persona es detenida o retenida en contra de su voluntad por parte de otra persona o grupo. Esto puede ser con fines de extorsión, rescate, control o coacción, y puede durar desde un breve período de tiempo hasta un secuestro prolongado.</w:t>
            </w:r>
          </w:p>
        </w:tc>
        <w:tc>
          <w:tcPr>
            <w:tcW w:w="1600" w:type="dxa"/>
            <w:tcBorders>
              <w:top w:val="nil"/>
              <w:left w:val="single" w:sz="4" w:space="0" w:color="auto"/>
              <w:bottom w:val="single" w:sz="4" w:space="0" w:color="auto"/>
              <w:right w:val="single" w:sz="4" w:space="0" w:color="auto"/>
            </w:tcBorders>
            <w:shd w:val="clear" w:color="000000" w:fill="FFFF00"/>
            <w:noWrap/>
            <w:vAlign w:val="center"/>
            <w:hideMark/>
          </w:tcPr>
          <w:p w14:paraId="7AA2B17E"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01470BE7" w14:textId="77777777" w:rsidTr="00D7394F">
        <w:trPr>
          <w:trHeight w:val="1800"/>
        </w:trPr>
        <w:tc>
          <w:tcPr>
            <w:tcW w:w="1838" w:type="dxa"/>
            <w:tcBorders>
              <w:top w:val="single" w:sz="4" w:space="0" w:color="auto"/>
              <w:left w:val="single" w:sz="4" w:space="0" w:color="auto"/>
              <w:bottom w:val="single" w:sz="4" w:space="0" w:color="auto"/>
              <w:right w:val="single" w:sz="4" w:space="0" w:color="auto"/>
            </w:tcBorders>
            <w:vAlign w:val="center"/>
            <w:hideMark/>
          </w:tcPr>
          <w:p w14:paraId="23836201"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Asonadas</w:t>
            </w:r>
          </w:p>
        </w:tc>
        <w:tc>
          <w:tcPr>
            <w:tcW w:w="5528" w:type="dxa"/>
            <w:tcBorders>
              <w:top w:val="nil"/>
              <w:left w:val="nil"/>
              <w:bottom w:val="single" w:sz="4" w:space="0" w:color="auto"/>
              <w:right w:val="single" w:sz="4" w:space="0" w:color="auto"/>
            </w:tcBorders>
            <w:vAlign w:val="center"/>
            <w:hideMark/>
          </w:tcPr>
          <w:p w14:paraId="02538AFF"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Las asonadas son disturbios o desórdenes públicos caracterizados por la violencia y la agitación. En general, involucran a grupos de personas que protestan, se rebelan o causan disturbios en la vía pública, a menudo en respuesta a situaciones políticas o sociales.</w:t>
            </w:r>
          </w:p>
        </w:tc>
        <w:tc>
          <w:tcPr>
            <w:tcW w:w="1600" w:type="dxa"/>
            <w:tcBorders>
              <w:top w:val="nil"/>
              <w:left w:val="single" w:sz="4" w:space="0" w:color="auto"/>
              <w:bottom w:val="single" w:sz="4" w:space="0" w:color="auto"/>
              <w:right w:val="single" w:sz="4" w:space="0" w:color="auto"/>
            </w:tcBorders>
            <w:shd w:val="clear" w:color="000000" w:fill="00B050"/>
            <w:noWrap/>
            <w:vAlign w:val="center"/>
            <w:hideMark/>
          </w:tcPr>
          <w:p w14:paraId="5A0808D0"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POSIBLE</w:t>
            </w:r>
          </w:p>
        </w:tc>
      </w:tr>
      <w:tr w:rsidR="00D7394F" w:rsidRPr="00D7394F" w14:paraId="3D14625E" w14:textId="77777777" w:rsidTr="00D7394F">
        <w:trPr>
          <w:trHeight w:val="2025"/>
        </w:trPr>
        <w:tc>
          <w:tcPr>
            <w:tcW w:w="1838" w:type="dxa"/>
            <w:tcBorders>
              <w:top w:val="single" w:sz="4" w:space="0" w:color="auto"/>
              <w:left w:val="single" w:sz="4" w:space="0" w:color="auto"/>
              <w:bottom w:val="single" w:sz="4" w:space="0" w:color="auto"/>
              <w:right w:val="single" w:sz="4" w:space="0" w:color="auto"/>
            </w:tcBorders>
            <w:vAlign w:val="center"/>
            <w:hideMark/>
          </w:tcPr>
          <w:p w14:paraId="1DA05C76"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lastRenderedPageBreak/>
              <w:t>Terrorismo</w:t>
            </w:r>
          </w:p>
        </w:tc>
        <w:tc>
          <w:tcPr>
            <w:tcW w:w="5528" w:type="dxa"/>
            <w:tcBorders>
              <w:top w:val="nil"/>
              <w:left w:val="nil"/>
              <w:bottom w:val="single" w:sz="4" w:space="0" w:color="auto"/>
              <w:right w:val="single" w:sz="4" w:space="0" w:color="auto"/>
            </w:tcBorders>
            <w:vAlign w:val="center"/>
            <w:hideMark/>
          </w:tcPr>
          <w:p w14:paraId="2C07CF8B"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El terrorismo es el uso sistemático de la violencia o la amenaza de violencia con la intención de crear miedo, desestabilizar la sociedad y lograr objetivos políticos, religiosos, ideológicos o sociales. Los actos terroristas suelen ser llevados a cabo por grupos o individuos que buscan provocar un impacto significativo y generar temor en la población.</w:t>
            </w:r>
          </w:p>
        </w:tc>
        <w:tc>
          <w:tcPr>
            <w:tcW w:w="1600" w:type="dxa"/>
            <w:tcBorders>
              <w:top w:val="nil"/>
              <w:left w:val="single" w:sz="4" w:space="0" w:color="auto"/>
              <w:bottom w:val="single" w:sz="4" w:space="0" w:color="auto"/>
              <w:right w:val="single" w:sz="4" w:space="0" w:color="auto"/>
            </w:tcBorders>
            <w:shd w:val="clear" w:color="000000" w:fill="FFFF00"/>
            <w:noWrap/>
            <w:vAlign w:val="center"/>
            <w:hideMark/>
          </w:tcPr>
          <w:p w14:paraId="42B1E113"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PROBABLE</w:t>
            </w:r>
          </w:p>
        </w:tc>
      </w:tr>
      <w:tr w:rsidR="00D7394F" w:rsidRPr="00D7394F" w14:paraId="0038F78E" w14:textId="77777777" w:rsidTr="00D7394F">
        <w:trPr>
          <w:trHeight w:val="3090"/>
        </w:trPr>
        <w:tc>
          <w:tcPr>
            <w:tcW w:w="1838" w:type="dxa"/>
            <w:tcBorders>
              <w:top w:val="single" w:sz="4" w:space="0" w:color="auto"/>
              <w:left w:val="single" w:sz="4" w:space="0" w:color="auto"/>
              <w:bottom w:val="single" w:sz="4" w:space="0" w:color="auto"/>
              <w:right w:val="single" w:sz="4" w:space="0" w:color="auto"/>
            </w:tcBorders>
            <w:vAlign w:val="center"/>
            <w:hideMark/>
          </w:tcPr>
          <w:p w14:paraId="520E84D1" w14:textId="77777777" w:rsidR="00D7394F" w:rsidRPr="00D7394F" w:rsidRDefault="00D7394F" w:rsidP="00D7394F">
            <w:pPr>
              <w:spacing w:after="0" w:line="240" w:lineRule="auto"/>
              <w:jc w:val="center"/>
              <w:rPr>
                <w:rFonts w:ascii="Arial" w:eastAsia="Times New Roman" w:hAnsi="Arial" w:cs="Arial"/>
                <w:lang w:val="es-CO" w:eastAsia="es-CO"/>
              </w:rPr>
            </w:pPr>
            <w:r w:rsidRPr="00D7394F">
              <w:rPr>
                <w:rFonts w:ascii="Arial" w:eastAsia="Times New Roman" w:hAnsi="Arial" w:cs="Arial"/>
                <w:lang w:val="es-CO" w:eastAsia="es-CO"/>
              </w:rPr>
              <w:t>Concentraciones masivas</w:t>
            </w:r>
          </w:p>
        </w:tc>
        <w:tc>
          <w:tcPr>
            <w:tcW w:w="5528" w:type="dxa"/>
            <w:tcBorders>
              <w:top w:val="nil"/>
              <w:left w:val="nil"/>
              <w:bottom w:val="single" w:sz="4" w:space="0" w:color="auto"/>
              <w:right w:val="single" w:sz="4" w:space="0" w:color="auto"/>
            </w:tcBorders>
            <w:vAlign w:val="center"/>
            <w:hideMark/>
          </w:tcPr>
          <w:p w14:paraId="120A2982" w14:textId="77777777" w:rsidR="00D7394F" w:rsidRPr="00D7394F" w:rsidRDefault="00D7394F" w:rsidP="00D7394F">
            <w:pPr>
              <w:spacing w:after="0" w:line="240" w:lineRule="auto"/>
              <w:jc w:val="both"/>
              <w:rPr>
                <w:rFonts w:ascii="Arial" w:eastAsia="Times New Roman" w:hAnsi="Arial" w:cs="Arial"/>
                <w:lang w:val="es-CO" w:eastAsia="es-CO"/>
              </w:rPr>
            </w:pPr>
            <w:r w:rsidRPr="00D7394F">
              <w:rPr>
                <w:rFonts w:ascii="Arial" w:eastAsia="Times New Roman" w:hAnsi="Arial" w:cs="Arial"/>
                <w:lang w:val="es-CO" w:eastAsia="es-CO"/>
              </w:rPr>
              <w:t>Se refiere a la reunión de un gran número de personas en un lugar específico y en un momento determinado. Estas concentraciones pueden tener diversos propósitos, como manifestaciones políticas, eventos deportivos, conciertos, celebraciones religiosas o sociales, y suelen requerir medidas de seguridad y logística para garantizar el orden y la seguridad de los asistentes.</w:t>
            </w:r>
          </w:p>
        </w:tc>
        <w:tc>
          <w:tcPr>
            <w:tcW w:w="1600" w:type="dxa"/>
            <w:tcBorders>
              <w:top w:val="nil"/>
              <w:left w:val="single" w:sz="4" w:space="0" w:color="auto"/>
              <w:bottom w:val="single" w:sz="4" w:space="0" w:color="auto"/>
              <w:right w:val="single" w:sz="4" w:space="0" w:color="auto"/>
            </w:tcBorders>
            <w:shd w:val="clear" w:color="000000" w:fill="00B050"/>
            <w:noWrap/>
            <w:vAlign w:val="center"/>
            <w:hideMark/>
          </w:tcPr>
          <w:p w14:paraId="2AE72310" w14:textId="77777777" w:rsidR="00D7394F" w:rsidRPr="00D7394F" w:rsidRDefault="00D7394F" w:rsidP="00D7394F">
            <w:pPr>
              <w:spacing w:after="0" w:line="240" w:lineRule="auto"/>
              <w:jc w:val="center"/>
              <w:rPr>
                <w:rFonts w:ascii="Arial" w:eastAsia="Times New Roman" w:hAnsi="Arial" w:cs="Arial"/>
                <w:sz w:val="18"/>
                <w:szCs w:val="18"/>
                <w:lang w:val="es-CO" w:eastAsia="es-CO"/>
              </w:rPr>
            </w:pPr>
            <w:r w:rsidRPr="00D7394F">
              <w:rPr>
                <w:rFonts w:ascii="Arial" w:eastAsia="Times New Roman" w:hAnsi="Arial" w:cs="Arial"/>
                <w:sz w:val="18"/>
                <w:szCs w:val="18"/>
                <w:lang w:val="es-CO" w:eastAsia="es-CO"/>
              </w:rPr>
              <w:t>POSIBLE</w:t>
            </w:r>
          </w:p>
        </w:tc>
      </w:tr>
    </w:tbl>
    <w:p w14:paraId="12465540" w14:textId="77777777" w:rsidR="007040D0" w:rsidRDefault="007040D0" w:rsidP="00E75E8D">
      <w:pPr>
        <w:spacing w:after="0" w:line="240" w:lineRule="auto"/>
        <w:rPr>
          <w:rFonts w:ascii="Arial" w:hAnsi="Arial" w:cs="Arial"/>
          <w:b/>
          <w:sz w:val="24"/>
          <w:szCs w:val="24"/>
          <w:u w:val="single"/>
        </w:rPr>
      </w:pPr>
    </w:p>
    <w:p w14:paraId="216E6EFF" w14:textId="77777777" w:rsidR="00953642" w:rsidRDefault="00953642" w:rsidP="00E75E8D">
      <w:pPr>
        <w:spacing w:after="0" w:line="240" w:lineRule="auto"/>
        <w:rPr>
          <w:rFonts w:ascii="Arial" w:hAnsi="Arial" w:cs="Arial"/>
          <w:b/>
          <w:sz w:val="24"/>
          <w:szCs w:val="24"/>
          <w:u w:val="single"/>
        </w:rPr>
      </w:pPr>
    </w:p>
    <w:p w14:paraId="73E187EB" w14:textId="53755020" w:rsidR="00E75E8D" w:rsidRDefault="00E75E8D" w:rsidP="003A78D4">
      <w:pPr>
        <w:spacing w:after="0" w:line="240" w:lineRule="auto"/>
        <w:rPr>
          <w:rFonts w:ascii="Arial" w:hAnsi="Arial" w:cs="Arial"/>
          <w:b/>
          <w:sz w:val="24"/>
          <w:szCs w:val="24"/>
          <w:u w:val="single"/>
        </w:rPr>
      </w:pPr>
    </w:p>
    <w:p w14:paraId="568FC08D" w14:textId="6FCF9D39" w:rsidR="005F3F21" w:rsidRDefault="005F3F21">
      <w:pPr>
        <w:spacing w:after="160" w:line="259" w:lineRule="auto"/>
        <w:rPr>
          <w:rFonts w:ascii="Arial" w:hAnsi="Arial" w:cs="Arial"/>
          <w:b/>
          <w:sz w:val="24"/>
          <w:szCs w:val="24"/>
          <w:u w:val="single"/>
        </w:rPr>
      </w:pPr>
      <w:r>
        <w:rPr>
          <w:rFonts w:ascii="Arial" w:hAnsi="Arial" w:cs="Arial"/>
          <w:b/>
          <w:sz w:val="24"/>
          <w:szCs w:val="24"/>
          <w:u w:val="single"/>
        </w:rPr>
        <w:br w:type="page"/>
      </w:r>
    </w:p>
    <w:p w14:paraId="0ACF86F3" w14:textId="77777777" w:rsidR="00E75E8D" w:rsidRPr="00DB5BB1" w:rsidRDefault="00E75E8D" w:rsidP="003A78D4">
      <w:pPr>
        <w:spacing w:after="0" w:line="240" w:lineRule="auto"/>
        <w:rPr>
          <w:rFonts w:ascii="Arial" w:hAnsi="Arial" w:cs="Arial"/>
          <w:b/>
          <w:sz w:val="24"/>
          <w:szCs w:val="24"/>
          <w:u w:val="single"/>
        </w:rPr>
      </w:pPr>
    </w:p>
    <w:p w14:paraId="7393F16B" w14:textId="733CDC68" w:rsidR="00F230A4" w:rsidRPr="0013408F" w:rsidRDefault="00311F5B" w:rsidP="00F230A4">
      <w:pPr>
        <w:pStyle w:val="Ttulo2"/>
        <w:spacing w:line="240" w:lineRule="auto"/>
        <w:jc w:val="left"/>
        <w:rPr>
          <w:bCs w:val="0"/>
          <w:lang w:eastAsia="es-ES"/>
        </w:rPr>
      </w:pPr>
      <w:bookmarkStart w:id="6" w:name="_Toc444086411"/>
      <w:bookmarkStart w:id="7" w:name="_Toc1054901"/>
      <w:r w:rsidRPr="0013408F">
        <w:rPr>
          <w:bCs w:val="0"/>
          <w:lang w:eastAsia="es-ES"/>
        </w:rPr>
        <w:t xml:space="preserve">Metodología </w:t>
      </w:r>
      <w:bookmarkEnd w:id="6"/>
      <w:bookmarkEnd w:id="7"/>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8" w:name="_Toc444086412"/>
            <w:r w:rsidRPr="0013408F">
              <w:rPr>
                <w:rFonts w:ascii="Arial" w:hAnsi="Arial" w:cs="Arial"/>
                <w:b/>
                <w:sz w:val="24"/>
                <w:szCs w:val="24"/>
              </w:rPr>
              <w:t>PROCEDIMIENTO DEL ANÁLISIS DE RIESGO</w:t>
            </w:r>
            <w:bookmarkEnd w:id="8"/>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9" w:name="_Toc444086413"/>
            <w:r w:rsidRPr="0013408F">
              <w:rPr>
                <w:rFonts w:ascii="Arial" w:hAnsi="Arial" w:cs="Arial"/>
                <w:b/>
                <w:sz w:val="24"/>
                <w:szCs w:val="24"/>
                <w:lang w:val="es-MX"/>
              </w:rPr>
              <w:t>DIAGRAMA</w:t>
            </w:r>
            <w:bookmarkEnd w:id="9"/>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10" w:name="_Toc444086414"/>
            <w:r w:rsidRPr="0013408F">
              <w:rPr>
                <w:rFonts w:ascii="Arial" w:hAnsi="Arial" w:cs="Arial"/>
                <w:b/>
                <w:sz w:val="24"/>
                <w:szCs w:val="24"/>
                <w:lang w:val="es-MX"/>
              </w:rPr>
              <w:t>DEFINICION</w:t>
            </w:r>
            <w:bookmarkEnd w:id="10"/>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11" w:name="_Toc444086415"/>
            <w:r w:rsidRPr="0013408F">
              <w:rPr>
                <w:rFonts w:ascii="Arial" w:hAnsi="Arial" w:cs="Arial"/>
                <w:noProof/>
                <w:sz w:val="24"/>
                <w:szCs w:val="24"/>
                <w:lang w:val="es-CO"/>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430AEB" w:rsidRDefault="00157C7E" w:rsidP="00F230A4">
                                  <w:pPr>
                                    <w:jc w:val="center"/>
                                    <w:rPr>
                                      <w:b/>
                                      <w:color w:val="000000"/>
                                    </w:rPr>
                                  </w:pPr>
                                  <w:r w:rsidRPr="00430AEB">
                                    <w:rPr>
                                      <w:b/>
                                      <w:color w:val="000000"/>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157C7E" w:rsidRPr="00430AEB" w:rsidRDefault="00157C7E" w:rsidP="00F230A4">
                            <w:pPr>
                              <w:jc w:val="center"/>
                              <w:rPr>
                                <w:b/>
                                <w:color w:val="000000"/>
                              </w:rPr>
                            </w:pPr>
                            <w:r w:rsidRPr="00430AEB">
                              <w:rPr>
                                <w:b/>
                                <w:color w:val="000000"/>
                              </w:rPr>
                              <w:t>Identificación de Amenazas</w:t>
                            </w:r>
                          </w:p>
                        </w:txbxContent>
                      </v:textbox>
                    </v:roundrect>
                  </w:pict>
                </mc:Fallback>
              </mc:AlternateContent>
            </w:r>
            <w:bookmarkEnd w:id="11"/>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12"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12"/>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3" w:name="_Toc444086417"/>
            <w:r w:rsidRPr="0013408F">
              <w:rPr>
                <w:rFonts w:ascii="Arial" w:hAnsi="Arial" w:cs="Arial"/>
                <w:noProof/>
                <w:sz w:val="24"/>
                <w:szCs w:val="24"/>
                <w:lang w:val="es-CO"/>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430AEB" w:rsidRDefault="00157C7E" w:rsidP="00F230A4">
                                  <w:pPr>
                                    <w:jc w:val="center"/>
                                    <w:rPr>
                                      <w:b/>
                                      <w:color w:val="000000"/>
                                    </w:rPr>
                                  </w:pPr>
                                  <w:r w:rsidRPr="00430AEB">
                                    <w:rPr>
                                      <w:b/>
                                      <w:color w:val="000000"/>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157C7E" w:rsidRPr="00430AEB" w:rsidRDefault="00157C7E" w:rsidP="00F230A4">
                            <w:pPr>
                              <w:jc w:val="center"/>
                              <w:rPr>
                                <w:b/>
                                <w:color w:val="000000"/>
                              </w:rPr>
                            </w:pPr>
                            <w:r w:rsidRPr="00430AEB">
                              <w:rPr>
                                <w:b/>
                                <w:color w:val="000000"/>
                              </w:rPr>
                              <w:t>Estimación de probabilidades</w:t>
                            </w:r>
                          </w:p>
                        </w:txbxContent>
                      </v:textbox>
                    </v:roundrect>
                  </w:pict>
                </mc:Fallback>
              </mc:AlternateContent>
            </w:r>
            <w:bookmarkEnd w:id="13"/>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4"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4"/>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5" w:name="_Toc444086419"/>
            <w:r w:rsidRPr="0013408F">
              <w:rPr>
                <w:rFonts w:ascii="Arial" w:hAnsi="Arial" w:cs="Arial"/>
                <w:noProof/>
                <w:sz w:val="24"/>
                <w:szCs w:val="24"/>
                <w:lang w:val="es-CO"/>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430AEB" w:rsidRDefault="00157C7E" w:rsidP="00F230A4">
                                  <w:pPr>
                                    <w:jc w:val="center"/>
                                    <w:rPr>
                                      <w:b/>
                                      <w:color w:val="000000"/>
                                    </w:rPr>
                                  </w:pPr>
                                  <w:r w:rsidRPr="00430AEB">
                                    <w:rPr>
                                      <w:b/>
                                      <w:color w:val="000000"/>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157C7E" w:rsidRPr="00430AEB" w:rsidRDefault="00157C7E" w:rsidP="00F230A4">
                            <w:pPr>
                              <w:jc w:val="center"/>
                              <w:rPr>
                                <w:b/>
                                <w:color w:val="000000"/>
                              </w:rPr>
                            </w:pPr>
                            <w:r w:rsidRPr="00430AEB">
                              <w:rPr>
                                <w:b/>
                                <w:color w:val="000000"/>
                              </w:rPr>
                              <w:t>Estimación de vulnerabilidades</w:t>
                            </w:r>
                          </w:p>
                        </w:txbxContent>
                      </v:textbox>
                    </v:roundrect>
                  </w:pict>
                </mc:Fallback>
              </mc:AlternateContent>
            </w:r>
            <w:bookmarkEnd w:id="15"/>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6"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6"/>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7" w:name="_Toc444086421"/>
            <w:r w:rsidRPr="0013408F">
              <w:rPr>
                <w:rFonts w:ascii="Arial" w:hAnsi="Arial" w:cs="Arial"/>
                <w:noProof/>
                <w:sz w:val="24"/>
                <w:szCs w:val="24"/>
                <w:lang w:val="es-CO"/>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430AEB" w:rsidRDefault="00157C7E" w:rsidP="00F230A4">
                                  <w:pPr>
                                    <w:jc w:val="center"/>
                                    <w:rPr>
                                      <w:b/>
                                      <w:color w:val="000000"/>
                                    </w:rPr>
                                  </w:pPr>
                                  <w:r w:rsidRPr="00430AEB">
                                    <w:rPr>
                                      <w:b/>
                                      <w:color w:val="000000"/>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157C7E" w:rsidRPr="00430AEB" w:rsidRDefault="00157C7E" w:rsidP="00F230A4">
                            <w:pPr>
                              <w:jc w:val="center"/>
                              <w:rPr>
                                <w:b/>
                                <w:color w:val="000000"/>
                              </w:rPr>
                            </w:pPr>
                            <w:r w:rsidRPr="00430AEB">
                              <w:rPr>
                                <w:b/>
                                <w:color w:val="000000"/>
                              </w:rPr>
                              <w:t>Calculo el riesgo</w:t>
                            </w:r>
                          </w:p>
                        </w:txbxContent>
                      </v:textbox>
                    </v:roundrect>
                  </w:pict>
                </mc:Fallback>
              </mc:AlternateContent>
            </w:r>
            <w:bookmarkEnd w:id="17"/>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8" w:name="_Toc444086422"/>
            <w:r w:rsidRPr="0013408F">
              <w:rPr>
                <w:rFonts w:ascii="Arial" w:hAnsi="Arial" w:cs="Arial"/>
                <w:sz w:val="24"/>
                <w:szCs w:val="24"/>
              </w:rPr>
              <w:t>Se debe realizar el cálculo o asignación del nivel de riesgo. El Riesgo (R) está definido en función de la amenaza y la vulnerabilidad</w:t>
            </w:r>
            <w:bookmarkEnd w:id="18"/>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9" w:name="_Toc444086423"/>
            <w:r w:rsidRPr="0013408F">
              <w:rPr>
                <w:rFonts w:ascii="Arial" w:hAnsi="Arial" w:cs="Arial"/>
                <w:noProof/>
                <w:sz w:val="24"/>
                <w:szCs w:val="24"/>
                <w:lang w:val="es-CO"/>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430AEB" w:rsidRDefault="00157C7E" w:rsidP="00F230A4">
                                  <w:pPr>
                                    <w:jc w:val="center"/>
                                    <w:rPr>
                                      <w:b/>
                                      <w:color w:val="000000"/>
                                    </w:rPr>
                                  </w:pPr>
                                  <w:r w:rsidRPr="00430AEB">
                                    <w:rPr>
                                      <w:b/>
                                      <w:color w:val="000000"/>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157C7E" w:rsidRPr="00430AEB" w:rsidRDefault="00157C7E" w:rsidP="00F230A4">
                            <w:pPr>
                              <w:jc w:val="center"/>
                              <w:rPr>
                                <w:b/>
                                <w:color w:val="000000"/>
                              </w:rPr>
                            </w:pPr>
                            <w:r w:rsidRPr="00430AEB">
                              <w:rPr>
                                <w:b/>
                                <w:color w:val="000000"/>
                              </w:rPr>
                              <w:t>Priorización de Escenarios</w:t>
                            </w:r>
                          </w:p>
                        </w:txbxContent>
                      </v:textbox>
                    </v:roundrect>
                  </w:pict>
                </mc:Fallback>
              </mc:AlternateContent>
            </w:r>
            <w:bookmarkEnd w:id="19"/>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20"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20"/>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21" w:name="_Toc444086425"/>
            <w:r w:rsidRPr="0013408F">
              <w:rPr>
                <w:rFonts w:ascii="Arial" w:hAnsi="Arial" w:cs="Arial"/>
                <w:noProof/>
                <w:sz w:val="24"/>
                <w:szCs w:val="24"/>
                <w:lang w:val="es-CO"/>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430AEB" w:rsidRDefault="00157C7E" w:rsidP="00F230A4">
                                  <w:pPr>
                                    <w:jc w:val="center"/>
                                    <w:rPr>
                                      <w:b/>
                                      <w:color w:val="000000"/>
                                    </w:rPr>
                                  </w:pPr>
                                  <w:r w:rsidRPr="00430AEB">
                                    <w:rPr>
                                      <w:b/>
                                      <w:color w:val="000000"/>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157C7E" w:rsidRPr="00430AEB" w:rsidRDefault="00157C7E" w:rsidP="00F230A4">
                            <w:pPr>
                              <w:jc w:val="center"/>
                              <w:rPr>
                                <w:b/>
                                <w:color w:val="000000"/>
                              </w:rPr>
                            </w:pPr>
                            <w:r w:rsidRPr="00430AEB">
                              <w:rPr>
                                <w:b/>
                                <w:color w:val="000000"/>
                              </w:rPr>
                              <w:t>Medidas de intervención</w:t>
                            </w:r>
                          </w:p>
                        </w:txbxContent>
                      </v:textbox>
                    </v:roundrect>
                  </w:pict>
                </mc:Fallback>
              </mc:AlternateContent>
            </w:r>
            <w:bookmarkEnd w:id="21"/>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22"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22"/>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w:t>
      </w:r>
      <w:r w:rsidRPr="0013408F">
        <w:rPr>
          <w:rFonts w:ascii="Arial" w:hAnsi="Arial" w:cs="Arial"/>
          <w:snapToGrid w:val="0"/>
          <w:sz w:val="24"/>
          <w:szCs w:val="24"/>
          <w:lang w:val="es-ES_tradnl" w:eastAsia="es-ES"/>
        </w:rPr>
        <w:lastRenderedPageBreak/>
        <w:t xml:space="preserve">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3" w:name="_Toc444086427"/>
      <w:r w:rsidRPr="0013408F">
        <w:rPr>
          <w:rFonts w:ascii="Arial" w:eastAsia="Calibri" w:hAnsi="Arial" w:cs="Arial"/>
          <w:b/>
          <w:snapToGrid w:val="0"/>
          <w:sz w:val="24"/>
          <w:szCs w:val="24"/>
          <w:lang w:val="es-ES_tradnl" w:eastAsia="es-ES"/>
        </w:rPr>
        <w:t>Análisis de Amenaza</w:t>
      </w:r>
      <w:bookmarkEnd w:id="23"/>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4" w:name="_Toc444086428"/>
      <w:r w:rsidRPr="0013408F">
        <w:rPr>
          <w:rFonts w:ascii="Arial" w:eastAsia="Calibri" w:hAnsi="Arial" w:cs="Arial"/>
          <w:b/>
          <w:snapToGrid w:val="0"/>
          <w:sz w:val="24"/>
          <w:szCs w:val="24"/>
          <w:lang w:val="es-ES_tradnl" w:eastAsia="es-ES"/>
        </w:rPr>
        <w:t>Metodología análisis de amenazas</w:t>
      </w:r>
      <w:bookmarkEnd w:id="24"/>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5" w:name="_Toc444086429"/>
            <w:r w:rsidRPr="0013408F">
              <w:rPr>
                <w:rFonts w:ascii="Arial" w:hAnsi="Arial" w:cs="Arial"/>
                <w:b/>
                <w:sz w:val="24"/>
                <w:szCs w:val="24"/>
                <w:lang w:val="es-MX"/>
              </w:rPr>
              <w:t>NATURAL</w:t>
            </w:r>
            <w:bookmarkEnd w:id="25"/>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6" w:name="_Toc444086430"/>
            <w:r w:rsidRPr="0013408F">
              <w:rPr>
                <w:rFonts w:ascii="Arial" w:hAnsi="Arial" w:cs="Arial"/>
                <w:b/>
                <w:sz w:val="24"/>
                <w:szCs w:val="24"/>
                <w:lang w:val="es-MX"/>
              </w:rPr>
              <w:t>ANTROPICAS NO INTENCIONALES</w:t>
            </w:r>
            <w:bookmarkEnd w:id="26"/>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7" w:name="_Toc444086431"/>
            <w:r w:rsidRPr="0013408F">
              <w:rPr>
                <w:rFonts w:ascii="Arial" w:hAnsi="Arial" w:cs="Arial"/>
                <w:b/>
                <w:sz w:val="24"/>
                <w:szCs w:val="24"/>
                <w:lang w:val="es-MX"/>
              </w:rPr>
              <w:t>SOCIAL</w:t>
            </w:r>
            <w:bookmarkEnd w:id="27"/>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2"/>
            <w:r w:rsidRPr="003841E3">
              <w:rPr>
                <w:rFonts w:ascii="Arial" w:hAnsi="Arial" w:cs="Arial"/>
                <w:sz w:val="22"/>
                <w:szCs w:val="22"/>
              </w:rPr>
              <w:t>Incendios Forestales</w:t>
            </w:r>
            <w:bookmarkEnd w:id="28"/>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9"/>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4"/>
            <w:r w:rsidRPr="003841E3">
              <w:rPr>
                <w:rFonts w:ascii="Arial" w:hAnsi="Arial" w:cs="Arial"/>
                <w:sz w:val="22"/>
                <w:szCs w:val="22"/>
              </w:rPr>
              <w:t>Movimientos Sísmicos</w:t>
            </w:r>
            <w:bookmarkEnd w:id="30"/>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31"/>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6"/>
            <w:r w:rsidRPr="003841E3">
              <w:rPr>
                <w:rFonts w:ascii="Arial" w:hAnsi="Arial" w:cs="Arial"/>
                <w:sz w:val="22"/>
                <w:szCs w:val="22"/>
              </w:rPr>
              <w:t>Inundaciones</w:t>
            </w:r>
            <w:bookmarkEnd w:id="32"/>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37"/>
            <w:r w:rsidRPr="003841E3">
              <w:rPr>
                <w:rFonts w:ascii="Arial" w:hAnsi="Arial" w:cs="Arial"/>
                <w:sz w:val="22"/>
                <w:szCs w:val="22"/>
              </w:rPr>
              <w:t>Avenidas torrenciales.</w:t>
            </w:r>
            <w:bookmarkEnd w:id="33"/>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38"/>
            <w:r w:rsidRPr="003841E3">
              <w:rPr>
                <w:rFonts w:ascii="Arial" w:hAnsi="Arial" w:cs="Arial"/>
                <w:sz w:val="22"/>
                <w:szCs w:val="22"/>
              </w:rPr>
              <w:t>Otros</w:t>
            </w:r>
            <w:bookmarkEnd w:id="34"/>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39"/>
            <w:r w:rsidRPr="003841E3">
              <w:rPr>
                <w:rFonts w:ascii="Arial" w:hAnsi="Arial" w:cs="Arial"/>
                <w:sz w:val="22"/>
                <w:szCs w:val="22"/>
              </w:rPr>
              <w:t>Incendios (estructurales, eléctricos, por líquidos o gases inflamables, etc.)</w:t>
            </w:r>
            <w:bookmarkEnd w:id="35"/>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0"/>
            <w:r w:rsidRPr="003841E3">
              <w:rPr>
                <w:rFonts w:ascii="Arial" w:hAnsi="Arial" w:cs="Arial"/>
                <w:sz w:val="22"/>
                <w:szCs w:val="22"/>
              </w:rPr>
              <w:t>Perdida de contención de materiales peligrosos (derrames, fugas, etc.)</w:t>
            </w:r>
            <w:bookmarkEnd w:id="36"/>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1"/>
            <w:r w:rsidRPr="003841E3">
              <w:rPr>
                <w:rFonts w:ascii="Arial" w:hAnsi="Arial" w:cs="Arial"/>
                <w:sz w:val="22"/>
                <w:szCs w:val="22"/>
              </w:rPr>
              <w:t>Explosión (gases, polvos, fibras, etc.)</w:t>
            </w:r>
            <w:bookmarkEnd w:id="37"/>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2"/>
            <w:r w:rsidRPr="003841E3">
              <w:rPr>
                <w:rFonts w:ascii="Arial" w:hAnsi="Arial" w:cs="Arial"/>
                <w:sz w:val="22"/>
                <w:szCs w:val="22"/>
              </w:rPr>
              <w:t>Inundación por deficiencias de la infraestructura hidráulica (redes de alcantarillado, acueducto, etc.)</w:t>
            </w:r>
            <w:bookmarkEnd w:id="38"/>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3"/>
            <w:r w:rsidRPr="003841E3">
              <w:rPr>
                <w:rFonts w:ascii="Arial" w:hAnsi="Arial" w:cs="Arial"/>
                <w:sz w:val="22"/>
                <w:szCs w:val="22"/>
              </w:rPr>
              <w:t>Fallas en sistemas y equipos</w:t>
            </w:r>
            <w:bookmarkEnd w:id="39"/>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4"/>
            <w:r w:rsidRPr="003841E3">
              <w:rPr>
                <w:rFonts w:ascii="Arial" w:hAnsi="Arial" w:cs="Arial"/>
                <w:sz w:val="22"/>
                <w:szCs w:val="22"/>
              </w:rPr>
              <w:t>Otros</w:t>
            </w:r>
            <w:bookmarkEnd w:id="40"/>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5"/>
            <w:r w:rsidRPr="003841E3">
              <w:rPr>
                <w:rFonts w:ascii="Arial" w:hAnsi="Arial" w:cs="Arial"/>
                <w:sz w:val="22"/>
                <w:szCs w:val="22"/>
              </w:rPr>
              <w:t>Comportamientos no adaptativos por temor.</w:t>
            </w:r>
            <w:bookmarkEnd w:id="41"/>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6"/>
            <w:r w:rsidRPr="003841E3">
              <w:rPr>
                <w:rFonts w:ascii="Arial" w:hAnsi="Arial" w:cs="Arial"/>
                <w:sz w:val="22"/>
                <w:szCs w:val="22"/>
              </w:rPr>
              <w:t>Accidentes de Vehículos</w:t>
            </w:r>
            <w:bookmarkEnd w:id="42"/>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47"/>
            <w:r w:rsidRPr="003841E3">
              <w:rPr>
                <w:rFonts w:ascii="Arial" w:hAnsi="Arial" w:cs="Arial"/>
                <w:sz w:val="22"/>
                <w:szCs w:val="22"/>
              </w:rPr>
              <w:t>Accidentes Personales</w:t>
            </w:r>
            <w:bookmarkEnd w:id="43"/>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48"/>
            <w:r w:rsidRPr="003841E3">
              <w:rPr>
                <w:rFonts w:ascii="Arial" w:hAnsi="Arial" w:cs="Arial"/>
                <w:sz w:val="22"/>
                <w:szCs w:val="22"/>
              </w:rPr>
              <w:t>Revueltas / Asonadas</w:t>
            </w:r>
            <w:bookmarkEnd w:id="44"/>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5" w:name="_Toc444086449"/>
            <w:r w:rsidRPr="003841E3">
              <w:rPr>
                <w:rFonts w:ascii="Arial" w:hAnsi="Arial" w:cs="Arial"/>
                <w:sz w:val="22"/>
                <w:szCs w:val="22"/>
              </w:rPr>
              <w:t>Atentados Terroristas</w:t>
            </w:r>
            <w:bookmarkEnd w:id="45"/>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6" w:name="_Toc444086450"/>
            <w:r w:rsidRPr="003841E3">
              <w:rPr>
                <w:rFonts w:ascii="Arial" w:hAnsi="Arial" w:cs="Arial"/>
                <w:sz w:val="22"/>
                <w:szCs w:val="22"/>
              </w:rPr>
              <w:t>Hurtos</w:t>
            </w:r>
            <w:bookmarkEnd w:id="46"/>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7" w:name="_Toc444086451"/>
            <w:r w:rsidRPr="003841E3">
              <w:rPr>
                <w:rFonts w:ascii="Arial" w:hAnsi="Arial" w:cs="Arial"/>
                <w:sz w:val="22"/>
                <w:szCs w:val="22"/>
              </w:rPr>
              <w:t>Otros</w:t>
            </w:r>
            <w:bookmarkEnd w:id="47"/>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 xml:space="preserve">En la tercera columna se debe describir la amenaza. Esta descripción debe ser lo más detallada incluyendo en lo posible la fuente que la </w:t>
      </w:r>
      <w:r w:rsidRPr="0013408F">
        <w:rPr>
          <w:rFonts w:ascii="Arial" w:eastAsia="Calibri" w:hAnsi="Arial" w:cs="Arial"/>
          <w:snapToGrid w:val="0"/>
          <w:sz w:val="24"/>
          <w:szCs w:val="24"/>
          <w:lang w:val="es-ES_tradnl" w:eastAsia="es-ES"/>
        </w:rPr>
        <w:lastRenderedPageBreak/>
        <w:t>generaría, registros históricos, o estudios que sustenten la posibilidad de ocurrencia del evento.</w:t>
      </w:r>
    </w:p>
    <w:p w14:paraId="6CBDE8BE"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cuarta columna se realiza la calificación de la amenaza y en la quinta columna se coloca el color que corresponda a la calificación de acuerdo con la siguiente tabla:</w:t>
      </w: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8" w:name="_Toc444086452"/>
      <w:r w:rsidRPr="0013408F">
        <w:rPr>
          <w:rFonts w:ascii="Arial" w:eastAsia="Calibri" w:hAnsi="Arial" w:cs="Arial"/>
          <w:b/>
          <w:snapToGrid w:val="0"/>
          <w:sz w:val="24"/>
          <w:szCs w:val="24"/>
          <w:lang w:val="es-ES_tradnl" w:eastAsia="es-ES"/>
        </w:rPr>
        <w:t>Análisis de Vulnerabilidad</w:t>
      </w:r>
      <w:bookmarkEnd w:id="48"/>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9" w:name="_Toc444086453"/>
            <w:r w:rsidRPr="0013408F">
              <w:rPr>
                <w:rFonts w:ascii="Arial" w:hAnsi="Arial" w:cs="Arial"/>
                <w:b/>
                <w:sz w:val="24"/>
                <w:szCs w:val="24"/>
              </w:rPr>
              <w:t>PERSONAS</w:t>
            </w:r>
            <w:bookmarkEnd w:id="49"/>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50" w:name="_Toc444086454"/>
            <w:r w:rsidRPr="0013408F">
              <w:rPr>
                <w:rFonts w:ascii="Arial" w:hAnsi="Arial" w:cs="Arial"/>
                <w:b/>
                <w:sz w:val="24"/>
                <w:szCs w:val="24"/>
              </w:rPr>
              <w:t>RECURSOS</w:t>
            </w:r>
            <w:bookmarkEnd w:id="50"/>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51" w:name="_Toc444086455"/>
            <w:r w:rsidRPr="0013408F">
              <w:rPr>
                <w:rFonts w:ascii="Arial" w:hAnsi="Arial" w:cs="Arial"/>
                <w:b/>
                <w:sz w:val="24"/>
                <w:szCs w:val="24"/>
              </w:rPr>
              <w:t>SISTEMAS Y PROCESOS</w:t>
            </w:r>
            <w:bookmarkEnd w:id="51"/>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6"/>
            <w:r w:rsidRPr="0013408F">
              <w:rPr>
                <w:rFonts w:ascii="Arial" w:hAnsi="Arial" w:cs="Arial"/>
                <w:sz w:val="24"/>
                <w:szCs w:val="24"/>
              </w:rPr>
              <w:t>Gestión Organizacional</w:t>
            </w:r>
            <w:bookmarkEnd w:id="52"/>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57"/>
            <w:r w:rsidRPr="0013408F">
              <w:rPr>
                <w:rFonts w:ascii="Arial" w:hAnsi="Arial" w:cs="Arial"/>
                <w:sz w:val="24"/>
                <w:szCs w:val="24"/>
              </w:rPr>
              <w:t>Capacitación y entrenamiento</w:t>
            </w:r>
            <w:bookmarkEnd w:id="53"/>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58"/>
            <w:r w:rsidRPr="0013408F">
              <w:rPr>
                <w:rFonts w:ascii="Arial" w:hAnsi="Arial" w:cs="Arial"/>
                <w:sz w:val="24"/>
                <w:szCs w:val="24"/>
              </w:rPr>
              <w:t>Características de Seguridad</w:t>
            </w:r>
            <w:bookmarkEnd w:id="54"/>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59"/>
            <w:r w:rsidRPr="0013408F">
              <w:rPr>
                <w:rFonts w:ascii="Arial" w:hAnsi="Arial" w:cs="Arial"/>
                <w:sz w:val="24"/>
                <w:szCs w:val="24"/>
              </w:rPr>
              <w:t>Suministros</w:t>
            </w:r>
            <w:bookmarkEnd w:id="55"/>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0"/>
            <w:r w:rsidRPr="0013408F">
              <w:rPr>
                <w:rFonts w:ascii="Arial" w:hAnsi="Arial" w:cs="Arial"/>
                <w:sz w:val="24"/>
                <w:szCs w:val="24"/>
              </w:rPr>
              <w:t>Edificación</w:t>
            </w:r>
            <w:bookmarkEnd w:id="56"/>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1"/>
            <w:r w:rsidRPr="0013408F">
              <w:rPr>
                <w:rFonts w:ascii="Arial" w:hAnsi="Arial" w:cs="Arial"/>
                <w:sz w:val="24"/>
                <w:szCs w:val="24"/>
              </w:rPr>
              <w:t>Equipos</w:t>
            </w:r>
            <w:bookmarkEnd w:id="57"/>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8" w:name="_Toc444086462"/>
            <w:r w:rsidRPr="0013408F">
              <w:rPr>
                <w:rFonts w:ascii="Arial" w:hAnsi="Arial" w:cs="Arial"/>
                <w:sz w:val="24"/>
                <w:szCs w:val="24"/>
              </w:rPr>
              <w:t>Servicios</w:t>
            </w:r>
            <w:bookmarkEnd w:id="58"/>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9" w:name="_Toc444086463"/>
            <w:r w:rsidRPr="0013408F">
              <w:rPr>
                <w:rFonts w:ascii="Arial" w:hAnsi="Arial" w:cs="Arial"/>
                <w:sz w:val="24"/>
                <w:szCs w:val="24"/>
              </w:rPr>
              <w:t>Sistemas Alternos</w:t>
            </w:r>
            <w:bookmarkEnd w:id="59"/>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60" w:name="_Toc444086464"/>
            <w:r w:rsidRPr="0013408F">
              <w:rPr>
                <w:rFonts w:ascii="Arial" w:hAnsi="Arial" w:cs="Arial"/>
                <w:sz w:val="24"/>
                <w:szCs w:val="24"/>
              </w:rPr>
              <w:t>Recuperación</w:t>
            </w:r>
            <w:bookmarkEnd w:id="60"/>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39FFEB58" w:rsidR="00F230A4" w:rsidRDefault="00F230A4" w:rsidP="00F230A4">
      <w:pPr>
        <w:spacing w:after="0" w:line="240" w:lineRule="auto"/>
        <w:rPr>
          <w:rFonts w:ascii="Arial" w:hAnsi="Arial" w:cs="Arial"/>
          <w:sz w:val="24"/>
          <w:szCs w:val="24"/>
          <w:lang w:val="es-CO"/>
        </w:rPr>
      </w:pPr>
    </w:p>
    <w:p w14:paraId="29F45FBE" w14:textId="690B7692" w:rsidR="00714D78" w:rsidRDefault="00714D78" w:rsidP="00F230A4">
      <w:pPr>
        <w:spacing w:after="0" w:line="240" w:lineRule="auto"/>
        <w:rPr>
          <w:rFonts w:ascii="Arial" w:hAnsi="Arial" w:cs="Arial"/>
          <w:sz w:val="24"/>
          <w:szCs w:val="24"/>
          <w:lang w:val="es-CO"/>
        </w:rPr>
      </w:pPr>
    </w:p>
    <w:p w14:paraId="77D0AE9B" w14:textId="76D783BB" w:rsidR="00714D78" w:rsidRDefault="00714D78" w:rsidP="00F230A4">
      <w:pPr>
        <w:spacing w:after="0" w:line="240" w:lineRule="auto"/>
        <w:rPr>
          <w:rFonts w:ascii="Arial" w:hAnsi="Arial" w:cs="Arial"/>
          <w:sz w:val="24"/>
          <w:szCs w:val="24"/>
          <w:lang w:val="es-CO"/>
        </w:rPr>
      </w:pPr>
    </w:p>
    <w:p w14:paraId="44E59711" w14:textId="77777777" w:rsidR="00714D78" w:rsidRPr="0013408F" w:rsidRDefault="00714D78"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61"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61"/>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w:t>
      </w:r>
      <w:r w:rsidRPr="0013408F">
        <w:rPr>
          <w:rFonts w:ascii="Arial" w:hAnsi="Arial" w:cs="Arial"/>
          <w:snapToGrid w:val="0"/>
          <w:sz w:val="24"/>
          <w:szCs w:val="24"/>
          <w:lang w:val="es-ES_tradnl" w:eastAsia="es-ES"/>
        </w:rPr>
        <w:lastRenderedPageBreak/>
        <w:t>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62" w:name="_Toc444086466"/>
      <w:r w:rsidRPr="0013408F">
        <w:rPr>
          <w:rFonts w:ascii="Arial" w:eastAsia="Calibri" w:hAnsi="Arial" w:cs="Arial"/>
          <w:b/>
          <w:snapToGrid w:val="0"/>
          <w:sz w:val="24"/>
          <w:szCs w:val="24"/>
          <w:lang w:val="es-ES_tradnl" w:eastAsia="es-ES"/>
        </w:rPr>
        <w:t>Interpretación de la vulnerabilidad</w:t>
      </w:r>
      <w:bookmarkEnd w:id="62"/>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26A39EA" w:rsidR="00C21913" w:rsidRDefault="00C21913" w:rsidP="00C21913">
      <w:pPr>
        <w:rPr>
          <w:lang w:val="es-CO"/>
        </w:rPr>
      </w:pPr>
    </w:p>
    <w:p w14:paraId="703CAEE8" w14:textId="3E932CB5" w:rsidR="00714D78" w:rsidRDefault="00714D78"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3" w:name="_Toc444086467"/>
      <w:r w:rsidRPr="0013408F">
        <w:rPr>
          <w:rFonts w:ascii="Arial" w:hAnsi="Arial" w:cs="Arial"/>
          <w:b/>
          <w:sz w:val="24"/>
          <w:szCs w:val="24"/>
        </w:rPr>
        <w:t>Nivel de Riesgo</w:t>
      </w:r>
      <w:bookmarkEnd w:id="63"/>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lastRenderedPageBreak/>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CO" w:eastAsia="es-CO"/>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lastRenderedPageBreak/>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infraestructura  y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lo cual significa que de los valores que representan la vulnerabilidad son altos o la amenaza es alta, también es posible que 3 de todos los componentes son, calificados como medios, por lo tanto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B40AC2">
      <w:pPr>
        <w:rPr>
          <w:bCs/>
          <w:lang w:eastAsia="es-ES"/>
        </w:rPr>
      </w:pPr>
    </w:p>
    <w:p w14:paraId="1B6BB0E3" w14:textId="588912B6" w:rsidR="00B40AC2" w:rsidRDefault="00B40AC2" w:rsidP="00B40AC2">
      <w:pPr>
        <w:rPr>
          <w:bCs/>
          <w:lang w:eastAsia="es-ES"/>
        </w:rPr>
      </w:pPr>
    </w:p>
    <w:p w14:paraId="1D9FA9CF" w14:textId="73B4693D" w:rsidR="00535C8E" w:rsidRDefault="00535C8E" w:rsidP="00B40AC2">
      <w:pPr>
        <w:rPr>
          <w:bCs/>
          <w:lang w:eastAsia="es-ES"/>
        </w:rPr>
      </w:pPr>
    </w:p>
    <w:p w14:paraId="6B364D68" w14:textId="23048E51" w:rsidR="00535C8E" w:rsidRDefault="00535C8E" w:rsidP="00B40AC2">
      <w:pPr>
        <w:rPr>
          <w:bCs/>
          <w:lang w:eastAsia="es-ES"/>
        </w:rPr>
      </w:pPr>
    </w:p>
    <w:p w14:paraId="00D48212" w14:textId="7FFD3A2D" w:rsidR="00535C8E" w:rsidRDefault="00535C8E" w:rsidP="00B40AC2">
      <w:pPr>
        <w:rPr>
          <w:bCs/>
          <w:lang w:eastAsia="es-ES"/>
        </w:rPr>
      </w:pPr>
    </w:p>
    <w:p w14:paraId="30ADC683" w14:textId="45C0E909" w:rsidR="00535C8E" w:rsidRDefault="00535C8E" w:rsidP="00B40AC2">
      <w:pPr>
        <w:rPr>
          <w:bCs/>
          <w:lang w:eastAsia="es-ES"/>
        </w:rPr>
      </w:pPr>
    </w:p>
    <w:p w14:paraId="14B8DD0F" w14:textId="01D57DEA" w:rsidR="00535C8E" w:rsidRDefault="00535C8E" w:rsidP="00B40AC2">
      <w:pPr>
        <w:rPr>
          <w:bCs/>
          <w:lang w:eastAsia="es-ES"/>
        </w:rPr>
      </w:pPr>
    </w:p>
    <w:p w14:paraId="7F5DA6A3" w14:textId="168840B2" w:rsidR="0057481C" w:rsidRDefault="0057481C" w:rsidP="0057481C">
      <w:pPr>
        <w:spacing w:after="0" w:line="240" w:lineRule="auto"/>
        <w:jc w:val="both"/>
        <w:rPr>
          <w:rFonts w:ascii="Arial" w:hAnsi="Arial" w:cs="Arial"/>
          <w:snapToGrid w:val="0"/>
          <w:sz w:val="24"/>
          <w:szCs w:val="24"/>
          <w:lang w:val="es-ES_tradnl" w:eastAsia="es-ES"/>
        </w:rPr>
      </w:pPr>
    </w:p>
    <w:p w14:paraId="23FA1CCB" w14:textId="77777777" w:rsidR="008F3F1C" w:rsidRPr="00E91EDB" w:rsidRDefault="008F3F1C" w:rsidP="008F3F1C">
      <w:pPr>
        <w:pStyle w:val="NormalWeb"/>
        <w:spacing w:before="0" w:beforeAutospacing="0" w:after="0" w:afterAutospacing="0"/>
        <w:jc w:val="center"/>
        <w:rPr>
          <w:rFonts w:ascii="Arial" w:eastAsia="Calibri" w:hAnsi="Arial" w:cs="Arial"/>
          <w:snapToGrid w:val="0"/>
          <w:color w:val="000000" w:themeColor="text1"/>
          <w:sz w:val="22"/>
          <w:szCs w:val="22"/>
          <w:lang w:val="es-ES_tradnl" w:eastAsia="es-ES"/>
        </w:rPr>
      </w:pPr>
      <w:r>
        <w:rPr>
          <w:noProof/>
        </w:rPr>
        <w:drawing>
          <wp:inline distT="0" distB="0" distL="0" distR="0" wp14:anchorId="0BFA3B0A" wp14:editId="08AF8AE7">
            <wp:extent cx="2969971" cy="545291"/>
            <wp:effectExtent l="0" t="0" r="1905" b="7620"/>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6"/>
                    <a:stretch>
                      <a:fillRect/>
                    </a:stretch>
                  </pic:blipFill>
                  <pic:spPr>
                    <a:xfrm>
                      <a:off x="0" y="0"/>
                      <a:ext cx="3015756" cy="553697"/>
                    </a:xfrm>
                    <a:prstGeom prst="rect">
                      <a:avLst/>
                    </a:prstGeom>
                  </pic:spPr>
                </pic:pic>
              </a:graphicData>
            </a:graphic>
          </wp:inline>
        </w:drawing>
      </w:r>
    </w:p>
    <w:p w14:paraId="4D2F6838" w14:textId="3A29AE5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w:t>
      </w:r>
      <w:r w:rsidRPr="00E91EDB">
        <w:rPr>
          <w:rFonts w:ascii="Arial" w:hAnsi="Arial" w:cs="Arial"/>
          <w:b/>
          <w:bCs/>
          <w:sz w:val="22"/>
          <w:szCs w:val="22"/>
        </w:rPr>
        <w:t>_______________________</w:t>
      </w:r>
    </w:p>
    <w:p w14:paraId="4B78C550" w14:textId="77777777"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sidRPr="00E91EDB">
        <w:rPr>
          <w:rFonts w:ascii="Arial" w:hAnsi="Arial" w:cs="Arial"/>
          <w:b/>
          <w:bCs/>
          <w:sz w:val="22"/>
          <w:szCs w:val="22"/>
        </w:rPr>
        <w:t xml:space="preserve">Nombre del Profesional: </w:t>
      </w:r>
      <w:r>
        <w:rPr>
          <w:rFonts w:ascii="Arial" w:hAnsi="Arial" w:cs="Arial"/>
          <w:b/>
          <w:bCs/>
          <w:sz w:val="22"/>
          <w:szCs w:val="22"/>
        </w:rPr>
        <w:t xml:space="preserve">Nixon Bejarano </w:t>
      </w:r>
    </w:p>
    <w:p w14:paraId="4EA63571" w14:textId="0466B39F" w:rsidR="00D47635" w:rsidRDefault="008F3F1C" w:rsidP="008F3F1C">
      <w:pPr>
        <w:pStyle w:val="Prrafodelista"/>
        <w:autoSpaceDE w:val="0"/>
        <w:autoSpaceDN w:val="0"/>
        <w:adjustRightInd w:val="0"/>
        <w:ind w:left="360"/>
        <w:jc w:val="center"/>
        <w:rPr>
          <w:sz w:val="24"/>
        </w:rPr>
      </w:pPr>
      <w:r w:rsidRPr="00E91EDB">
        <w:rPr>
          <w:rFonts w:ascii="Arial" w:hAnsi="Arial" w:cs="Arial"/>
          <w:b/>
          <w:bCs/>
          <w:sz w:val="22"/>
          <w:szCs w:val="22"/>
        </w:rPr>
        <w:t xml:space="preserve">No. Lic. en S.O.: R. </w:t>
      </w:r>
      <w:r>
        <w:rPr>
          <w:rFonts w:ascii="Arial" w:hAnsi="Arial" w:cs="Arial"/>
          <w:b/>
          <w:bCs/>
          <w:sz w:val="22"/>
          <w:szCs w:val="22"/>
        </w:rPr>
        <w:t>8146 de 19/09/2019</w:t>
      </w:r>
    </w:p>
    <w:sectPr w:rsidR="00D47635" w:rsidSect="00120264">
      <w:headerReference w:type="default" r:id="rId17"/>
      <w:footerReference w:type="default" r:id="rId18"/>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BBC7D" w14:textId="77777777" w:rsidR="00F347CC" w:rsidRDefault="00F347CC" w:rsidP="00F230A4">
      <w:pPr>
        <w:spacing w:after="0" w:line="240" w:lineRule="auto"/>
      </w:pPr>
      <w:r>
        <w:separator/>
      </w:r>
    </w:p>
  </w:endnote>
  <w:endnote w:type="continuationSeparator" w:id="0">
    <w:p w14:paraId="1D02C57B" w14:textId="77777777" w:rsidR="00F347CC" w:rsidRDefault="00F347CC"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90BCF" w14:textId="77777777" w:rsidR="00F347CC" w:rsidRDefault="00F347CC" w:rsidP="00F230A4">
      <w:pPr>
        <w:spacing w:after="0" w:line="240" w:lineRule="auto"/>
      </w:pPr>
      <w:r>
        <w:separator/>
      </w:r>
    </w:p>
  </w:footnote>
  <w:footnote w:type="continuationSeparator" w:id="0">
    <w:p w14:paraId="60600F19" w14:textId="77777777" w:rsidR="00F347CC" w:rsidRDefault="00F347CC"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157C7E" w:rsidRDefault="00157C7E" w:rsidP="00972917">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706F1"/>
    <w:rsid w:val="00072A65"/>
    <w:rsid w:val="00097AB3"/>
    <w:rsid w:val="000C64C8"/>
    <w:rsid w:val="000D057A"/>
    <w:rsid w:val="00120264"/>
    <w:rsid w:val="0013408F"/>
    <w:rsid w:val="00142A06"/>
    <w:rsid w:val="00156C9B"/>
    <w:rsid w:val="00157C7E"/>
    <w:rsid w:val="00166656"/>
    <w:rsid w:val="00167AD7"/>
    <w:rsid w:val="00181F6F"/>
    <w:rsid w:val="001C3D2C"/>
    <w:rsid w:val="001C53A2"/>
    <w:rsid w:val="001E284D"/>
    <w:rsid w:val="001E6AB9"/>
    <w:rsid w:val="001F5652"/>
    <w:rsid w:val="0020011F"/>
    <w:rsid w:val="002171EA"/>
    <w:rsid w:val="0025264C"/>
    <w:rsid w:val="00253629"/>
    <w:rsid w:val="00260C2C"/>
    <w:rsid w:val="002754E2"/>
    <w:rsid w:val="0028311D"/>
    <w:rsid w:val="00287340"/>
    <w:rsid w:val="002A0B73"/>
    <w:rsid w:val="002A217F"/>
    <w:rsid w:val="002C09F2"/>
    <w:rsid w:val="002C2B3E"/>
    <w:rsid w:val="002E7E83"/>
    <w:rsid w:val="00311F5B"/>
    <w:rsid w:val="00312636"/>
    <w:rsid w:val="00363F01"/>
    <w:rsid w:val="0038351E"/>
    <w:rsid w:val="003841E3"/>
    <w:rsid w:val="00391784"/>
    <w:rsid w:val="003A172B"/>
    <w:rsid w:val="003A78D4"/>
    <w:rsid w:val="003B0C95"/>
    <w:rsid w:val="003D5AF4"/>
    <w:rsid w:val="003F43A2"/>
    <w:rsid w:val="00430AEB"/>
    <w:rsid w:val="004323EC"/>
    <w:rsid w:val="00451FDC"/>
    <w:rsid w:val="00454344"/>
    <w:rsid w:val="00483947"/>
    <w:rsid w:val="00493B00"/>
    <w:rsid w:val="004A2AC7"/>
    <w:rsid w:val="004B0131"/>
    <w:rsid w:val="004B0223"/>
    <w:rsid w:val="004B4AD7"/>
    <w:rsid w:val="004C17A6"/>
    <w:rsid w:val="004D76E3"/>
    <w:rsid w:val="004E7FA6"/>
    <w:rsid w:val="005175B7"/>
    <w:rsid w:val="00520263"/>
    <w:rsid w:val="00531096"/>
    <w:rsid w:val="00535C8E"/>
    <w:rsid w:val="00535D4F"/>
    <w:rsid w:val="0057052B"/>
    <w:rsid w:val="0057232F"/>
    <w:rsid w:val="0057481C"/>
    <w:rsid w:val="00594D70"/>
    <w:rsid w:val="005B6475"/>
    <w:rsid w:val="005C11DF"/>
    <w:rsid w:val="005C1E30"/>
    <w:rsid w:val="005D043E"/>
    <w:rsid w:val="005F34FD"/>
    <w:rsid w:val="005F3F21"/>
    <w:rsid w:val="00611E0F"/>
    <w:rsid w:val="00620D75"/>
    <w:rsid w:val="006376CF"/>
    <w:rsid w:val="00653262"/>
    <w:rsid w:val="0065498F"/>
    <w:rsid w:val="00657E4C"/>
    <w:rsid w:val="00662E27"/>
    <w:rsid w:val="006707D8"/>
    <w:rsid w:val="00677AC5"/>
    <w:rsid w:val="0068039E"/>
    <w:rsid w:val="006813DB"/>
    <w:rsid w:val="00684917"/>
    <w:rsid w:val="006C4DBD"/>
    <w:rsid w:val="006D7FA8"/>
    <w:rsid w:val="006F68B7"/>
    <w:rsid w:val="007040D0"/>
    <w:rsid w:val="007106FC"/>
    <w:rsid w:val="00714D78"/>
    <w:rsid w:val="00715D97"/>
    <w:rsid w:val="0073462F"/>
    <w:rsid w:val="0074397D"/>
    <w:rsid w:val="00763D43"/>
    <w:rsid w:val="00767D57"/>
    <w:rsid w:val="00791083"/>
    <w:rsid w:val="00793D73"/>
    <w:rsid w:val="007C3FE3"/>
    <w:rsid w:val="007D71D6"/>
    <w:rsid w:val="007E2921"/>
    <w:rsid w:val="007F1E50"/>
    <w:rsid w:val="00846220"/>
    <w:rsid w:val="00846364"/>
    <w:rsid w:val="00850C4E"/>
    <w:rsid w:val="00886621"/>
    <w:rsid w:val="008B09BC"/>
    <w:rsid w:val="008B4F85"/>
    <w:rsid w:val="008B6B0D"/>
    <w:rsid w:val="008D04F1"/>
    <w:rsid w:val="008F3F1C"/>
    <w:rsid w:val="00927265"/>
    <w:rsid w:val="009373E6"/>
    <w:rsid w:val="009504DE"/>
    <w:rsid w:val="00952FE9"/>
    <w:rsid w:val="00953642"/>
    <w:rsid w:val="00972917"/>
    <w:rsid w:val="00973CEF"/>
    <w:rsid w:val="00996DC6"/>
    <w:rsid w:val="009A328D"/>
    <w:rsid w:val="009B7C90"/>
    <w:rsid w:val="009D036C"/>
    <w:rsid w:val="009E06B7"/>
    <w:rsid w:val="009E26F1"/>
    <w:rsid w:val="009E45CD"/>
    <w:rsid w:val="00A10388"/>
    <w:rsid w:val="00A21913"/>
    <w:rsid w:val="00A377A3"/>
    <w:rsid w:val="00A44B80"/>
    <w:rsid w:val="00A55A66"/>
    <w:rsid w:val="00A778E8"/>
    <w:rsid w:val="00A8076C"/>
    <w:rsid w:val="00A902DA"/>
    <w:rsid w:val="00A93A73"/>
    <w:rsid w:val="00A965B1"/>
    <w:rsid w:val="00AA0554"/>
    <w:rsid w:val="00AE04A5"/>
    <w:rsid w:val="00AE385F"/>
    <w:rsid w:val="00AF691C"/>
    <w:rsid w:val="00B11F2C"/>
    <w:rsid w:val="00B4024C"/>
    <w:rsid w:val="00B40AC2"/>
    <w:rsid w:val="00B426B4"/>
    <w:rsid w:val="00B83898"/>
    <w:rsid w:val="00B8406A"/>
    <w:rsid w:val="00B87423"/>
    <w:rsid w:val="00BD0F81"/>
    <w:rsid w:val="00BE22D3"/>
    <w:rsid w:val="00C06667"/>
    <w:rsid w:val="00C1596A"/>
    <w:rsid w:val="00C20C33"/>
    <w:rsid w:val="00C21913"/>
    <w:rsid w:val="00C63B84"/>
    <w:rsid w:val="00C6776B"/>
    <w:rsid w:val="00CA12B6"/>
    <w:rsid w:val="00CA2561"/>
    <w:rsid w:val="00CC1156"/>
    <w:rsid w:val="00CE26ED"/>
    <w:rsid w:val="00D01EAE"/>
    <w:rsid w:val="00D02F77"/>
    <w:rsid w:val="00D064D7"/>
    <w:rsid w:val="00D30270"/>
    <w:rsid w:val="00D47635"/>
    <w:rsid w:val="00D646F5"/>
    <w:rsid w:val="00D7394F"/>
    <w:rsid w:val="00D77985"/>
    <w:rsid w:val="00D81AC8"/>
    <w:rsid w:val="00D95BA4"/>
    <w:rsid w:val="00DA691E"/>
    <w:rsid w:val="00DB5BB1"/>
    <w:rsid w:val="00DD78D5"/>
    <w:rsid w:val="00DF452B"/>
    <w:rsid w:val="00E17261"/>
    <w:rsid w:val="00E26BB1"/>
    <w:rsid w:val="00E75E8D"/>
    <w:rsid w:val="00E97510"/>
    <w:rsid w:val="00EB0E19"/>
    <w:rsid w:val="00F022F0"/>
    <w:rsid w:val="00F13D29"/>
    <w:rsid w:val="00F230A4"/>
    <w:rsid w:val="00F338ED"/>
    <w:rsid w:val="00F347CC"/>
    <w:rsid w:val="00F87A43"/>
    <w:rsid w:val="00F957DC"/>
    <w:rsid w:val="00FA6B20"/>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33753602">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44470825">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0270917">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798454588">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8D400-6A9C-4B28-90BF-99F9E872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2737</Words>
  <Characters>15056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6</cp:revision>
  <cp:lastPrinted>2019-10-18T21:37:00Z</cp:lastPrinted>
  <dcterms:created xsi:type="dcterms:W3CDTF">2024-11-22T08:20:00Z</dcterms:created>
  <dcterms:modified xsi:type="dcterms:W3CDTF">2026-04-15T20:29:00Z</dcterms:modified>
</cp:coreProperties>
</file>