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27493520"/>
        <w:docPartObj>
          <w:docPartGallery w:val="Cover Pages"/>
          <w:docPartUnique/>
        </w:docPartObj>
      </w:sdtPr>
      <w:sdtEndPr/>
      <w:sdtContent>
        <w:p w:rsidR="0097695C" w:rsidRDefault="00E11D2F">
          <w:r>
            <w:rPr>
              <w:noProof/>
              <w:lang w:eastAsia="es-CO"/>
            </w:rPr>
            <w:drawing>
              <wp:anchor distT="0" distB="0" distL="114300" distR="114300" simplePos="0" relativeHeight="251661312" behindDoc="1" locked="0" layoutInCell="1" allowOverlap="1" wp14:anchorId="6648E9CD" wp14:editId="163E592F">
                <wp:simplePos x="0" y="0"/>
                <wp:positionH relativeFrom="page">
                  <wp:align>left</wp:align>
                </wp:positionH>
                <wp:positionV relativeFrom="paragraph">
                  <wp:posOffset>-866775</wp:posOffset>
                </wp:positionV>
                <wp:extent cx="7753350" cy="10023088"/>
                <wp:effectExtent l="0" t="0" r="0" b="0"/>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ADA.png"/>
                        <pic:cNvPicPr/>
                      </pic:nvPicPr>
                      <pic:blipFill>
                        <a:blip r:embed="rId8">
                          <a:extLst>
                            <a:ext uri="{28A0092B-C50C-407E-A947-70E740481C1C}">
                              <a14:useLocalDpi xmlns:a14="http://schemas.microsoft.com/office/drawing/2010/main" val="0"/>
                            </a:ext>
                          </a:extLst>
                        </a:blip>
                        <a:stretch>
                          <a:fillRect/>
                        </a:stretch>
                      </pic:blipFill>
                      <pic:spPr>
                        <a:xfrm>
                          <a:off x="0" y="0"/>
                          <a:ext cx="7753350" cy="10023088"/>
                        </a:xfrm>
                        <a:prstGeom prst="rect">
                          <a:avLst/>
                        </a:prstGeom>
                      </pic:spPr>
                    </pic:pic>
                  </a:graphicData>
                </a:graphic>
                <wp14:sizeRelH relativeFrom="page">
                  <wp14:pctWidth>0</wp14:pctWidth>
                </wp14:sizeRelH>
                <wp14:sizeRelV relativeFrom="page">
                  <wp14:pctHeight>0</wp14:pctHeight>
                </wp14:sizeRelV>
              </wp:anchor>
            </w:drawing>
          </w:r>
        </w:p>
        <w:p w:rsidR="0097695C" w:rsidRDefault="00E11D2F">
          <w:r w:rsidRPr="00995797">
            <w:rPr>
              <w:rFonts w:ascii="Roboto" w:hAnsi="Roboto"/>
              <w:noProof/>
              <w:color w:val="263238"/>
              <w:szCs w:val="20"/>
              <w:lang w:eastAsia="es-CO"/>
            </w:rPr>
            <mc:AlternateContent>
              <mc:Choice Requires="wps">
                <w:drawing>
                  <wp:anchor distT="45720" distB="45720" distL="114300" distR="114300" simplePos="0" relativeHeight="251663360" behindDoc="0" locked="0" layoutInCell="1" allowOverlap="1" wp14:anchorId="5784FF7B" wp14:editId="2449E7EE">
                    <wp:simplePos x="0" y="0"/>
                    <wp:positionH relativeFrom="page">
                      <wp:posOffset>1819275</wp:posOffset>
                    </wp:positionH>
                    <wp:positionV relativeFrom="paragraph">
                      <wp:posOffset>3385820</wp:posOffset>
                    </wp:positionV>
                    <wp:extent cx="5760720"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04620"/>
                            </a:xfrm>
                            <a:prstGeom prst="rect">
                              <a:avLst/>
                            </a:prstGeom>
                            <a:noFill/>
                            <a:ln w="9525">
                              <a:noFill/>
                              <a:miter lim="800000"/>
                              <a:headEnd/>
                              <a:tailEnd/>
                            </a:ln>
                          </wps:spPr>
                          <wps:txbx>
                            <w:txbxContent>
                              <w:p w:rsidR="00E11D2F" w:rsidRDefault="00C4755D" w:rsidP="00E11D2F">
                                <w:pPr>
                                  <w:spacing w:after="0"/>
                                  <w:jc w:val="right"/>
                                  <w:rPr>
                                    <w:b/>
                                    <w:color w:val="C00000"/>
                                    <w:sz w:val="70"/>
                                    <w:szCs w:val="70"/>
                                  </w:rPr>
                                </w:pPr>
                                <w:r>
                                  <w:rPr>
                                    <w:b/>
                                    <w:color w:val="C00000"/>
                                    <w:sz w:val="56"/>
                                    <w:szCs w:val="70"/>
                                  </w:rPr>
                                  <w:t>PLAN ANTITRÁMITES</w:t>
                                </w:r>
                              </w:p>
                              <w:p w:rsidR="00E11D2F" w:rsidRPr="009D2FEE" w:rsidRDefault="00E11D2F" w:rsidP="00E11D2F">
                                <w:pPr>
                                  <w:spacing w:after="0"/>
                                  <w:jc w:val="right"/>
                                  <w:rPr>
                                    <w:rFonts w:cs="Arial"/>
                                    <w:b/>
                                    <w:color w:val="C00000"/>
                                    <w:sz w:val="70"/>
                                    <w:szCs w:val="70"/>
                                  </w:rPr>
                                </w:pPr>
                                <w:r>
                                  <w:rPr>
                                    <w:b/>
                                    <w:color w:val="C00000"/>
                                    <w:sz w:val="70"/>
                                    <w:szCs w:val="70"/>
                                  </w:rPr>
                                  <w:t>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84FF7B" id="_x0000_t202" coordsize="21600,21600" o:spt="202" path="m,l,21600r21600,l21600,xe">
                    <v:stroke joinstyle="miter"/>
                    <v:path gradientshapeok="t" o:connecttype="rect"/>
                  </v:shapetype>
                  <v:shape id="Cuadro de texto 2" o:spid="_x0000_s1026" type="#_x0000_t202" style="position:absolute;margin-left:143.25pt;margin-top:266.6pt;width:453.6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slEAIAAPwDAAAOAAAAZHJzL2Uyb0RvYy54bWysU9uO2yAQfa/Uf0C8N7ajXHatOKtttqkq&#10;bbeVtv0AAjhGBYYCiZ1+fQeczUbtW1UeEDAzhzmHw+puMJocpQ8KbEOrSUmJtByEsvuGfv+2fXdD&#10;SYjMCqbByoaeZKB367dvVr2r5RQ60EJ6giA21L1raBejq4si8E4aFibgpMVgC96wiFu/L4RnPaIb&#10;XUzLclH04IXzwGUIePowBuk647et5PFL2wYZiW4o9hbz7PO8S3OxXrF675nrFD+3wf6hC8OUxUsv&#10;UA8sMnLw6i8oo7iHAG2ccDAFtK3iMnNANlX5B5vnjjmZuaA4wV1kCv8Plj8dv3qiREOn1ZISyww+&#10;0ubAhAciJIlyiECmSabehRqznx3mx+E9DPjcmXJwj8B/BGJh0zG7l/feQ99JJrDNKlUWV6UjTkgg&#10;u/4zCLyNHSJkoKH1JmmIqhBEx+c6XZ4I+yAcD+fLRbmcYohjrJqVswVu0h2sfil3PsSPEgxJi4Z6&#10;9ECGZ8fHEMfUl5R0m4Wt0hrPWa0t6Rt6O5/Oc8FVxKiINtXKNPSmTGM0TmL5wYpcHJnS4xp70fZM&#10;OzEdOcdhN2Bi0mIH4oQCeBjtiN8HFx34X5T0aMWGhp8H5iUl+pNFEW+r2Sx5N29m80zfX0d21xFm&#10;OUI1NFIyLjcx+z0RDO4exd6qLMNrJ+de0WJZyPN3SB6+3ues10+7/g0AAP//AwBQSwMEFAAGAAgA&#10;AAAhAMIJbnbhAAAADAEAAA8AAABkcnMvZG93bnJldi54bWxMj8FOwzAQRO9I/IO1SNyo06RpSohT&#10;VagtR6CNenbjJYmI15HtpuHvcU9wXM3TzNtiPemejWhdZ0jAfBYBQ6qN6qgRUB13TytgzktSsjeE&#10;An7Qwbq8vytkrsyVPnE8+IaFEnK5FNB6P+Scu7pFLd3MDEgh+zJWSx9O23Bl5TWU657HUbTkWnYU&#10;Flo54GuL9ffhogUMfthnb/b9Y7PdjVF12ldx12yFeHyYNi/APE7+D4abflCHMjidzYWUY72AeLVM&#10;AyogTZIY2I2YPycZsLOALF0sgJcF//9E+QsAAP//AwBQSwECLQAUAAYACAAAACEAtoM4kv4AAADh&#10;AQAAEwAAAAAAAAAAAAAAAAAAAAAAW0NvbnRlbnRfVHlwZXNdLnhtbFBLAQItABQABgAIAAAAIQA4&#10;/SH/1gAAAJQBAAALAAAAAAAAAAAAAAAAAC8BAABfcmVscy8ucmVsc1BLAQItABQABgAIAAAAIQC8&#10;TaslEAIAAPwDAAAOAAAAAAAAAAAAAAAAAC4CAABkcnMvZTJvRG9jLnhtbFBLAQItABQABgAIAAAA&#10;IQDCCW524QAAAAwBAAAPAAAAAAAAAAAAAAAAAGoEAABkcnMvZG93bnJldi54bWxQSwUGAAAAAAQA&#10;BADzAAAAeAUAAAAA&#10;" filled="f" stroked="f">
                    <v:textbox style="mso-fit-shape-to-text:t">
                      <w:txbxContent>
                        <w:p w:rsidR="00E11D2F" w:rsidRDefault="00C4755D" w:rsidP="00E11D2F">
                          <w:pPr>
                            <w:spacing w:after="0"/>
                            <w:jc w:val="right"/>
                            <w:rPr>
                              <w:b/>
                              <w:color w:val="C00000"/>
                              <w:sz w:val="70"/>
                              <w:szCs w:val="70"/>
                            </w:rPr>
                          </w:pPr>
                          <w:r>
                            <w:rPr>
                              <w:b/>
                              <w:color w:val="C00000"/>
                              <w:sz w:val="56"/>
                              <w:szCs w:val="70"/>
                            </w:rPr>
                            <w:t>PLAN ANTITRÁMITES</w:t>
                          </w:r>
                        </w:p>
                        <w:p w:rsidR="00E11D2F" w:rsidRPr="009D2FEE" w:rsidRDefault="00E11D2F" w:rsidP="00E11D2F">
                          <w:pPr>
                            <w:spacing w:after="0"/>
                            <w:jc w:val="right"/>
                            <w:rPr>
                              <w:rFonts w:cs="Arial"/>
                              <w:b/>
                              <w:color w:val="C00000"/>
                              <w:sz w:val="70"/>
                              <w:szCs w:val="70"/>
                            </w:rPr>
                          </w:pPr>
                          <w:r>
                            <w:rPr>
                              <w:b/>
                              <w:color w:val="C00000"/>
                              <w:sz w:val="70"/>
                              <w:szCs w:val="70"/>
                            </w:rPr>
                            <w:t>2021</w:t>
                          </w:r>
                        </w:p>
                      </w:txbxContent>
                    </v:textbox>
                    <w10:wrap anchorx="page"/>
                  </v:shape>
                </w:pict>
              </mc:Fallback>
            </mc:AlternateContent>
          </w:r>
          <w:r w:rsidR="0097695C">
            <w:br w:type="page"/>
          </w:r>
        </w:p>
      </w:sdtContent>
    </w:sdt>
    <w:p w:rsidR="00A17E0A" w:rsidRDefault="00A17E0A"/>
    <w:p w:rsidR="0097695C" w:rsidRDefault="0097695C" w:rsidP="0097695C">
      <w:pPr>
        <w:pStyle w:val="Ttulo1"/>
      </w:pPr>
      <w:r>
        <w:t>Introducción</w:t>
      </w:r>
    </w:p>
    <w:p w:rsidR="0097695C" w:rsidRDefault="0097695C" w:rsidP="0097695C"/>
    <w:p w:rsidR="00F30A3C" w:rsidRDefault="00F30A3C" w:rsidP="0036607B">
      <w:pPr>
        <w:jc w:val="both"/>
      </w:pPr>
    </w:p>
    <w:p w:rsidR="00C4755D" w:rsidRDefault="00C4755D" w:rsidP="0036607B">
      <w:pPr>
        <w:jc w:val="both"/>
      </w:pPr>
      <w:r w:rsidRPr="00C4755D">
        <w:t xml:space="preserve">La Unidad Administrativa Especial Cuerpo Oficial Bomberos de Bogotá, presenta su plan </w:t>
      </w:r>
      <w:r w:rsidR="006F3C53">
        <w:t>anti</w:t>
      </w:r>
      <w:r w:rsidRPr="00C4755D">
        <w:t xml:space="preserve">trámites para la vigencia 2021, dando cumplimiento al </w:t>
      </w:r>
      <w:r w:rsidRPr="00C4755D">
        <w:t>artícu</w:t>
      </w:r>
      <w:r w:rsidRPr="00C4755D">
        <w:t xml:space="preserve">lo 4 de la ley 2052 de 2020, que </w:t>
      </w:r>
      <w:r w:rsidRPr="00C4755D">
        <w:t>establece que las entidades a Rama Ejecutiva del nivel nacional y territorial, deben elaborar anualmente la estrategia de racionalización de trámites</w:t>
      </w:r>
      <w:r w:rsidRPr="00C4755D">
        <w:t xml:space="preserve">.  Así mismo este plan se enmarca en el modelo integrado de planeación y gestión, MIPG, </w:t>
      </w:r>
      <w:r w:rsidRPr="00C4755D">
        <w:t>política</w:t>
      </w:r>
      <w:r w:rsidRPr="00C4755D">
        <w:t xml:space="preserve"> de racionalización de trámites de la dimensión gestión</w:t>
      </w:r>
      <w:r w:rsidRPr="00C4755D">
        <w:t xml:space="preserve"> </w:t>
      </w:r>
      <w:r w:rsidRPr="00C4755D">
        <w:t xml:space="preserve">con valores para resultados la cual busca </w:t>
      </w:r>
      <w:r w:rsidRPr="00C4755D">
        <w:t>redimensionar el Estado en torno al servici</w:t>
      </w:r>
      <w:r w:rsidRPr="00C4755D">
        <w:t xml:space="preserve">o al ciudadano, las acciones </w:t>
      </w:r>
      <w:r w:rsidR="006F3C53">
        <w:t>anti</w:t>
      </w:r>
      <w:r w:rsidRPr="00C4755D">
        <w:t>trámite y virtualización que se</w:t>
      </w:r>
      <w:r w:rsidRPr="00C4755D">
        <w:t xml:space="preserve"> constituyen en las principales herramientas para la flexibilización de la relación entre el Estado y la Ciudadanía. </w:t>
      </w:r>
    </w:p>
    <w:p w:rsidR="0097695C" w:rsidRDefault="00C4755D" w:rsidP="0036607B">
      <w:pPr>
        <w:jc w:val="both"/>
      </w:pPr>
      <w:r>
        <w:t xml:space="preserve">De acuerdo a la ley 1474 de 2011, este plan antitrámites, esta </w:t>
      </w:r>
      <w:r w:rsidR="00F30A3C">
        <w:t>incluido</w:t>
      </w:r>
      <w:r>
        <w:t xml:space="preserve"> en el plan anticorrupción y atención al ciudadano</w:t>
      </w:r>
      <w:r w:rsidR="00F30A3C">
        <w:t>, PAAC,</w:t>
      </w:r>
      <w:r>
        <w:t xml:space="preserve"> de la entidad</w:t>
      </w:r>
      <w:r w:rsidR="00F30A3C">
        <w:t xml:space="preserve"> en el componente </w:t>
      </w:r>
      <w:r w:rsidR="00B5767D">
        <w:t xml:space="preserve">y </w:t>
      </w:r>
      <w:r w:rsidR="00F30A3C">
        <w:t xml:space="preserve">se encuentra </w:t>
      </w:r>
      <w:r w:rsidR="00B5767D">
        <w:t>registrado en el Sistema Único de Información de trámites, SUIT</w:t>
      </w:r>
      <w:r w:rsidR="00F30A3C">
        <w:t>.</w:t>
      </w:r>
    </w:p>
    <w:p w:rsidR="00F30A3C" w:rsidRDefault="00F30A3C" w:rsidP="0036607B">
      <w:pPr>
        <w:jc w:val="both"/>
      </w:pPr>
    </w:p>
    <w:p w:rsidR="00F30A3C" w:rsidRDefault="00F30A3C" w:rsidP="0036607B">
      <w:pPr>
        <w:jc w:val="both"/>
      </w:pPr>
    </w:p>
    <w:p w:rsidR="00F30A3C" w:rsidRDefault="00F30A3C" w:rsidP="0036607B">
      <w:pPr>
        <w:jc w:val="both"/>
      </w:pPr>
    </w:p>
    <w:p w:rsidR="00F30A3C" w:rsidRDefault="00F30A3C" w:rsidP="0036607B">
      <w:pPr>
        <w:jc w:val="both"/>
      </w:pPr>
    </w:p>
    <w:p w:rsidR="00F30A3C" w:rsidRDefault="00F30A3C" w:rsidP="0036607B">
      <w:pPr>
        <w:jc w:val="both"/>
      </w:pPr>
    </w:p>
    <w:p w:rsidR="00F30A3C" w:rsidRDefault="00F30A3C" w:rsidP="0036607B">
      <w:pPr>
        <w:jc w:val="both"/>
      </w:pPr>
    </w:p>
    <w:p w:rsidR="00F30A3C" w:rsidRDefault="00F30A3C" w:rsidP="0036607B">
      <w:pPr>
        <w:jc w:val="both"/>
      </w:pPr>
    </w:p>
    <w:p w:rsidR="00F30A3C" w:rsidRDefault="00F30A3C" w:rsidP="0036607B">
      <w:pPr>
        <w:jc w:val="both"/>
      </w:pPr>
    </w:p>
    <w:p w:rsidR="00F30A3C" w:rsidRDefault="00F30A3C" w:rsidP="0036607B">
      <w:pPr>
        <w:jc w:val="both"/>
      </w:pPr>
    </w:p>
    <w:p w:rsidR="00F30A3C" w:rsidRDefault="00F30A3C" w:rsidP="0036607B">
      <w:pPr>
        <w:jc w:val="both"/>
      </w:pPr>
    </w:p>
    <w:p w:rsidR="00F30A3C" w:rsidRDefault="00F30A3C" w:rsidP="0036607B">
      <w:pPr>
        <w:jc w:val="both"/>
      </w:pPr>
    </w:p>
    <w:p w:rsidR="00F30A3C" w:rsidRDefault="00F30A3C" w:rsidP="0036607B">
      <w:pPr>
        <w:jc w:val="both"/>
      </w:pPr>
    </w:p>
    <w:p w:rsidR="0097695C" w:rsidRDefault="0097695C" w:rsidP="0097695C"/>
    <w:p w:rsidR="0097695C" w:rsidRDefault="0097695C" w:rsidP="0097695C"/>
    <w:p w:rsidR="0097695C" w:rsidRDefault="0097695C" w:rsidP="0097695C"/>
    <w:p w:rsidR="0097695C" w:rsidRDefault="0097695C" w:rsidP="0097695C">
      <w:pPr>
        <w:pStyle w:val="Ttulo1"/>
      </w:pPr>
      <w:r>
        <w:lastRenderedPageBreak/>
        <w:t>Diagnóstico</w:t>
      </w:r>
    </w:p>
    <w:p w:rsidR="0097695C" w:rsidRDefault="0097695C" w:rsidP="0097695C"/>
    <w:p w:rsidR="00F30A3C" w:rsidRPr="009C5DC2" w:rsidRDefault="00F30A3C" w:rsidP="00F30A3C">
      <w:pPr>
        <w:jc w:val="both"/>
      </w:pPr>
      <w:r w:rsidRPr="009C5DC2">
        <w:t xml:space="preserve">Los trámites y servicios que prestan las entidades del estado a los ciudadanos cuentan con un marco legal que establece los requisitos que se deben cumplir para proteger los derechos de las personas naturales y jurídicas y exige a las entidades generar procedimientos que faciliten el acceso de los usuarios a los trámites o servicios ofrecidos por el </w:t>
      </w:r>
      <w:r>
        <w:t>E</w:t>
      </w:r>
      <w:r w:rsidRPr="009C5DC2">
        <w:t>stado.  Las leyes que componen este marco son: el Código de Procedimiento Administrativo y de lo Contencioso Administrativo Ley 1437 de 2011, las leyes de racionalización y anti-trámites, Ley 962 de 2005 y el Decreto Ley 019 de 2012 y la ley 2052 de 2020, que además de crear condiciones para la racionalización, incluye la automatización y digitalización de trámites.</w:t>
      </w:r>
    </w:p>
    <w:p w:rsidR="00F30A3C" w:rsidRPr="009C5DC2" w:rsidRDefault="00F30A3C" w:rsidP="00F30A3C">
      <w:pPr>
        <w:jc w:val="both"/>
      </w:pPr>
      <w:r w:rsidRPr="009C5DC2">
        <w:t>Teniendo en cuenta lo anterior y siguiendo la guía metodológica para la racionalización de trámites del Departamento Administrativo de la Función Pública, la Unidad Administrativa Especial Cuerpo Oficial Bomberos de Bogotá diseñó la estrategia de racionalización de trámites para 2020, enfocada en la identificación de trámites y recopilación de la información, realizando un inventario actualizado de trámites y servicios, de esta manera se cumplió con la primera fase de la política de racionalización.</w:t>
      </w:r>
    </w:p>
    <w:p w:rsidR="00F30A3C" w:rsidRPr="009C5DC2" w:rsidRDefault="00F30A3C" w:rsidP="00F30A3C">
      <w:pPr>
        <w:jc w:val="both"/>
      </w:pPr>
      <w:r w:rsidRPr="009C5DC2">
        <w:t xml:space="preserve">Este inventario confirmó la existencia de </w:t>
      </w:r>
      <w:r>
        <w:t>once (</w:t>
      </w:r>
      <w:r w:rsidRPr="009C5DC2">
        <w:t>11</w:t>
      </w:r>
      <w:r>
        <w:t>)</w:t>
      </w:r>
      <w:r w:rsidRPr="009C5DC2">
        <w:t xml:space="preserve"> servicios que la entidad ofrece con los que se procedió a recolectar la documentación de respaldo, registrar la descripción y realizar la revisión normativa.</w:t>
      </w:r>
    </w:p>
    <w:p w:rsidR="00F30A3C" w:rsidRPr="009C5DC2" w:rsidRDefault="00F30A3C" w:rsidP="00F30A3C">
      <w:pPr>
        <w:jc w:val="both"/>
      </w:pPr>
      <w:r w:rsidRPr="009C5DC2">
        <w:t xml:space="preserve">Es así como resultado de las actividades de exploración, identificación y clasificación se encontró que de los </w:t>
      </w:r>
      <w:r>
        <w:t>once (</w:t>
      </w:r>
      <w:r w:rsidRPr="009C5DC2">
        <w:t>11</w:t>
      </w:r>
      <w:r>
        <w:t>)</w:t>
      </w:r>
      <w:r w:rsidRPr="009C5DC2">
        <w:t xml:space="preserve"> servicios asociados a los procesos misionales en los que la entidad tiene interrelación con la comunidad, </w:t>
      </w:r>
      <w:r>
        <w:t>siete (</w:t>
      </w:r>
      <w:r w:rsidRPr="009C5DC2">
        <w:t>7</w:t>
      </w:r>
      <w:r>
        <w:t>)</w:t>
      </w:r>
      <w:r w:rsidRPr="009C5DC2">
        <w:t xml:space="preserve"> requieren pago por parte del ciudadano y este este cobro se sustenta en el artículo 28 del acuerdo 11 de 1988.  </w:t>
      </w:r>
    </w:p>
    <w:p w:rsidR="00F30A3C" w:rsidRPr="009C5DC2" w:rsidRDefault="00F30A3C" w:rsidP="00F30A3C">
      <w:pPr>
        <w:jc w:val="both"/>
      </w:pPr>
      <w:r w:rsidRPr="009C5DC2">
        <w:t xml:space="preserve">Estos </w:t>
      </w:r>
      <w:r>
        <w:t>siete (</w:t>
      </w:r>
      <w:r w:rsidRPr="009C5DC2">
        <w:t>7</w:t>
      </w:r>
      <w:r>
        <w:t>)</w:t>
      </w:r>
      <w:r w:rsidRPr="009C5DC2">
        <w:t xml:space="preserve"> servicios requieren revisión normativa para validar el cumplimiento de los atributos del Trámite, especialmente frente al requisito de ser creados o autorizados por la ley o un decreto. </w:t>
      </w:r>
    </w:p>
    <w:p w:rsidR="00F30A3C" w:rsidRDefault="00F30A3C" w:rsidP="00F169C9">
      <w:pPr>
        <w:jc w:val="both"/>
        <w:rPr>
          <w:b/>
        </w:rPr>
      </w:pPr>
      <w:r w:rsidRPr="009C5DC2">
        <w:t xml:space="preserve">Los cuatro </w:t>
      </w:r>
      <w:r>
        <w:t xml:space="preserve">(4) </w:t>
      </w:r>
      <w:r w:rsidRPr="009C5DC2">
        <w:t>servicios sin costo se clasifican como otros procedimientos administrativos, OPA, los cuales han sido generados de manera potestativa por la entidad y generan un valor agregado al servicio a la ciudadanía</w:t>
      </w:r>
      <w:r>
        <w:t>.</w:t>
      </w:r>
      <w:r w:rsidRPr="009C5DC2">
        <w:t xml:space="preserve"> </w:t>
      </w:r>
      <w:r>
        <w:t>P</w:t>
      </w:r>
      <w:r w:rsidRPr="009C5DC2">
        <w:t xml:space="preserve">ara el caso del club bomberitos constituye un programa institucionalizado a lo largo de la trayectoria de años de servicio del </w:t>
      </w:r>
      <w:r>
        <w:t>C</w:t>
      </w:r>
      <w:r w:rsidRPr="009C5DC2">
        <w:t xml:space="preserve">uerpo de </w:t>
      </w:r>
      <w:r>
        <w:t>B</w:t>
      </w:r>
      <w:r w:rsidRPr="009C5DC2">
        <w:t xml:space="preserve">omberos de Bogotá.  El servicio de informe de emergencias representa un valor agregado frente a la función establecida en el literal c, artículo 22 de la ley 1575 de 2012, Atención de incidentes relacionados con incendios. Así como la capacitación externa a la comunidad, el cual es un programa con valor agregado a la función estipulada en el literal b, artículo 22 de la ley 1575 de 2012, desarrollar todos los programas de prevención. Tres </w:t>
      </w:r>
      <w:r>
        <w:t xml:space="preserve">(3) </w:t>
      </w:r>
      <w:r w:rsidRPr="009C5DC2">
        <w:t xml:space="preserve">de los servicios identificados como OPAS, están registrados en el Sistema </w:t>
      </w:r>
      <w:r w:rsidRPr="009C5DC2">
        <w:lastRenderedPageBreak/>
        <w:t xml:space="preserve">Único de Trámites, SUIT: Constancia de emergencia, Prevención en niños, club bomberitos y Simulaciones. </w:t>
      </w:r>
    </w:p>
    <w:p w:rsidR="00F30A3C" w:rsidRDefault="00F30A3C" w:rsidP="00F30A3C">
      <w:pPr>
        <w:rPr>
          <w:b/>
        </w:rPr>
      </w:pPr>
      <w:r w:rsidRPr="009C5DC2">
        <w:rPr>
          <w:b/>
        </w:rPr>
        <w:t>Inventario de Servicios</w:t>
      </w:r>
    </w:p>
    <w:p w:rsidR="00F30A3C" w:rsidRPr="005A218C" w:rsidRDefault="00F30A3C" w:rsidP="00F30A3C">
      <w:pPr>
        <w:rPr>
          <w:b/>
        </w:rPr>
      </w:pPr>
    </w:p>
    <w:p w:rsidR="00F30A3C" w:rsidRPr="005A218C" w:rsidRDefault="00F30A3C" w:rsidP="00F30A3C">
      <w:r>
        <w:rPr>
          <w:noProof/>
          <w:lang w:eastAsia="es-CO"/>
        </w:rPr>
        <w:drawing>
          <wp:inline distT="0" distB="0" distL="0" distR="0" wp14:anchorId="219C6C9C" wp14:editId="08FF6F79">
            <wp:extent cx="5612130" cy="5200650"/>
            <wp:effectExtent l="0" t="0" r="7620" b="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5200650"/>
                    </a:xfrm>
                    <a:prstGeom prst="rect">
                      <a:avLst/>
                    </a:prstGeom>
                    <a:noFill/>
                    <a:ln>
                      <a:noFill/>
                    </a:ln>
                  </pic:spPr>
                </pic:pic>
              </a:graphicData>
            </a:graphic>
          </wp:inline>
        </w:drawing>
      </w:r>
    </w:p>
    <w:p w:rsidR="00F30A3C" w:rsidRDefault="00F30A3C" w:rsidP="00F30A3C">
      <w:pPr>
        <w:pStyle w:val="Textoindependiente"/>
        <w:rPr>
          <w:rFonts w:ascii="Tahoma"/>
        </w:rPr>
      </w:pPr>
    </w:p>
    <w:p w:rsidR="00F30A3C" w:rsidRDefault="00F30A3C" w:rsidP="00F30A3C">
      <w:pPr>
        <w:pStyle w:val="Textoindependiente"/>
        <w:rPr>
          <w:rFonts w:ascii="Tahoma"/>
        </w:rPr>
      </w:pPr>
    </w:p>
    <w:p w:rsidR="00F30A3C" w:rsidRDefault="00F30A3C" w:rsidP="00F30A3C">
      <w:pPr>
        <w:pStyle w:val="Textoindependiente"/>
        <w:rPr>
          <w:rFonts w:ascii="Tahoma"/>
        </w:rPr>
      </w:pPr>
    </w:p>
    <w:p w:rsidR="00F30A3C" w:rsidRDefault="00F30A3C" w:rsidP="00F30A3C">
      <w:pPr>
        <w:pStyle w:val="Textoindependiente"/>
        <w:rPr>
          <w:rFonts w:ascii="Tahoma"/>
        </w:rPr>
      </w:pPr>
    </w:p>
    <w:p w:rsidR="00F30A3C" w:rsidRDefault="00F30A3C" w:rsidP="00F30A3C">
      <w:pPr>
        <w:pStyle w:val="Textoindependiente"/>
        <w:rPr>
          <w:rFonts w:ascii="Tahoma"/>
        </w:rPr>
      </w:pPr>
    </w:p>
    <w:p w:rsidR="00F30A3C" w:rsidRDefault="00F30A3C" w:rsidP="00F30A3C">
      <w:pPr>
        <w:pStyle w:val="Textoindependiente"/>
        <w:rPr>
          <w:rFonts w:ascii="Tahoma"/>
        </w:rPr>
      </w:pPr>
    </w:p>
    <w:p w:rsidR="00F30A3C" w:rsidRDefault="00F30A3C" w:rsidP="00F30A3C">
      <w:pPr>
        <w:pStyle w:val="Textoindependiente"/>
        <w:rPr>
          <w:rFonts w:ascii="Tahoma"/>
        </w:rPr>
      </w:pPr>
    </w:p>
    <w:p w:rsidR="00F30A3C" w:rsidRDefault="00F30A3C" w:rsidP="00F30A3C">
      <w:pPr>
        <w:pStyle w:val="Textoindependiente"/>
        <w:rPr>
          <w:rFonts w:ascii="Tahoma"/>
        </w:rPr>
      </w:pPr>
    </w:p>
    <w:p w:rsidR="00F30A3C" w:rsidRDefault="00F30A3C" w:rsidP="00F30A3C">
      <w:pPr>
        <w:pStyle w:val="Textoindependiente"/>
        <w:rPr>
          <w:rFonts w:ascii="Tahoma"/>
        </w:rPr>
      </w:pPr>
    </w:p>
    <w:p w:rsidR="00F30A3C" w:rsidRDefault="00F30A3C" w:rsidP="00F30A3C">
      <w:pPr>
        <w:pStyle w:val="Textoindependiente"/>
        <w:rPr>
          <w:rFonts w:ascii="Tahoma"/>
        </w:rPr>
      </w:pPr>
    </w:p>
    <w:p w:rsidR="00F30A3C" w:rsidRDefault="00F30A3C" w:rsidP="00F30A3C">
      <w:pPr>
        <w:pStyle w:val="Textoindependiente"/>
        <w:rPr>
          <w:rFonts w:ascii="Tahoma"/>
        </w:rPr>
      </w:pPr>
    </w:p>
    <w:p w:rsidR="00F30A3C" w:rsidRDefault="00F30A3C" w:rsidP="00F30A3C">
      <w:pPr>
        <w:pStyle w:val="Textoindependiente"/>
        <w:rPr>
          <w:rFonts w:ascii="Tahoma"/>
        </w:rPr>
      </w:pPr>
    </w:p>
    <w:p w:rsidR="00F30A3C" w:rsidRPr="00100371" w:rsidRDefault="00F30A3C" w:rsidP="00F30A3C">
      <w:pPr>
        <w:rPr>
          <w:b/>
        </w:rPr>
      </w:pPr>
      <w:r w:rsidRPr="00100371">
        <w:rPr>
          <w:b/>
        </w:rPr>
        <w:lastRenderedPageBreak/>
        <w:t>Estadística de atención por servicio</w:t>
      </w:r>
    </w:p>
    <w:tbl>
      <w:tblPr>
        <w:tblStyle w:val="Tablanormal1"/>
        <w:tblW w:w="5000" w:type="pct"/>
        <w:tblLook w:val="04A0" w:firstRow="1" w:lastRow="0" w:firstColumn="1" w:lastColumn="0" w:noHBand="0" w:noVBand="1"/>
      </w:tblPr>
      <w:tblGrid>
        <w:gridCol w:w="528"/>
        <w:gridCol w:w="6158"/>
        <w:gridCol w:w="1072"/>
        <w:gridCol w:w="1070"/>
      </w:tblGrid>
      <w:tr w:rsidR="00F30A3C" w:rsidRPr="0004647B" w:rsidTr="00C76B04">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99" w:type="pct"/>
            <w:hideMark/>
          </w:tcPr>
          <w:p w:rsidR="00F30A3C" w:rsidRPr="0004647B" w:rsidRDefault="00F30A3C" w:rsidP="00C76B04">
            <w:pPr>
              <w:jc w:val="center"/>
              <w:rPr>
                <w:rFonts w:ascii="Calibri" w:eastAsia="Times New Roman" w:hAnsi="Calibri" w:cs="Calibri"/>
                <w:b w:val="0"/>
                <w:bCs w:val="0"/>
                <w:color w:val="000000"/>
              </w:rPr>
            </w:pPr>
            <w:r w:rsidRPr="0004647B">
              <w:rPr>
                <w:rFonts w:ascii="Calibri" w:eastAsia="Times New Roman" w:hAnsi="Calibri" w:cs="Calibri"/>
                <w:color w:val="000000"/>
              </w:rPr>
              <w:t>N°</w:t>
            </w:r>
          </w:p>
        </w:tc>
        <w:tc>
          <w:tcPr>
            <w:tcW w:w="3488" w:type="pct"/>
            <w:hideMark/>
          </w:tcPr>
          <w:p w:rsidR="00F30A3C" w:rsidRPr="0004647B" w:rsidRDefault="00F30A3C" w:rsidP="00C76B0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04647B">
              <w:rPr>
                <w:rFonts w:ascii="Calibri" w:eastAsia="Times New Roman" w:hAnsi="Calibri" w:cs="Calibri"/>
                <w:color w:val="000000"/>
              </w:rPr>
              <w:t>TRÁMITE O SERVICIO</w:t>
            </w:r>
          </w:p>
        </w:tc>
        <w:tc>
          <w:tcPr>
            <w:tcW w:w="607" w:type="pct"/>
            <w:hideMark/>
          </w:tcPr>
          <w:p w:rsidR="00F30A3C" w:rsidRPr="0004647B" w:rsidRDefault="00F30A3C" w:rsidP="00C76B0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04647B">
              <w:rPr>
                <w:rFonts w:ascii="Calibri" w:eastAsia="Times New Roman" w:hAnsi="Calibri" w:cs="Calibri"/>
                <w:color w:val="000000"/>
              </w:rPr>
              <w:t>2018</w:t>
            </w:r>
          </w:p>
        </w:tc>
        <w:tc>
          <w:tcPr>
            <w:tcW w:w="606" w:type="pct"/>
            <w:hideMark/>
          </w:tcPr>
          <w:p w:rsidR="00F30A3C" w:rsidRPr="0004647B" w:rsidRDefault="00F30A3C" w:rsidP="00C76B0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sidRPr="0004647B">
              <w:rPr>
                <w:rFonts w:ascii="Calibri" w:eastAsia="Times New Roman" w:hAnsi="Calibri" w:cs="Calibri"/>
                <w:color w:val="000000"/>
              </w:rPr>
              <w:t>2019</w:t>
            </w:r>
          </w:p>
        </w:tc>
      </w:tr>
      <w:tr w:rsidR="00F30A3C" w:rsidRPr="0004647B" w:rsidTr="00C76B0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99" w:type="pct"/>
            <w:hideMark/>
          </w:tcPr>
          <w:p w:rsidR="00F30A3C" w:rsidRPr="0004647B" w:rsidRDefault="00F30A3C" w:rsidP="00C76B04">
            <w:pPr>
              <w:jc w:val="center"/>
              <w:rPr>
                <w:rFonts w:ascii="Calibri" w:eastAsia="Times New Roman" w:hAnsi="Calibri" w:cs="Calibri"/>
                <w:color w:val="000000"/>
              </w:rPr>
            </w:pPr>
            <w:r w:rsidRPr="0004647B">
              <w:rPr>
                <w:rFonts w:ascii="Calibri" w:eastAsia="Times New Roman" w:hAnsi="Calibri" w:cs="Calibri"/>
                <w:color w:val="000000"/>
              </w:rPr>
              <w:t>1</w:t>
            </w:r>
          </w:p>
        </w:tc>
        <w:tc>
          <w:tcPr>
            <w:tcW w:w="3488"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CONCEPTO TÉCNICO</w:t>
            </w:r>
          </w:p>
        </w:tc>
        <w:tc>
          <w:tcPr>
            <w:tcW w:w="607"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33506</w:t>
            </w:r>
          </w:p>
        </w:tc>
        <w:tc>
          <w:tcPr>
            <w:tcW w:w="606"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43190</w:t>
            </w:r>
          </w:p>
        </w:tc>
      </w:tr>
      <w:tr w:rsidR="00F30A3C" w:rsidRPr="0004647B" w:rsidTr="00C76B04">
        <w:trPr>
          <w:trHeight w:val="420"/>
        </w:trPr>
        <w:tc>
          <w:tcPr>
            <w:cnfStyle w:val="001000000000" w:firstRow="0" w:lastRow="0" w:firstColumn="1" w:lastColumn="0" w:oddVBand="0" w:evenVBand="0" w:oddHBand="0" w:evenHBand="0" w:firstRowFirstColumn="0" w:firstRowLastColumn="0" w:lastRowFirstColumn="0" w:lastRowLastColumn="0"/>
            <w:tcW w:w="299" w:type="pct"/>
            <w:hideMark/>
          </w:tcPr>
          <w:p w:rsidR="00F30A3C" w:rsidRPr="0004647B" w:rsidRDefault="00F30A3C" w:rsidP="00C76B04">
            <w:pPr>
              <w:jc w:val="center"/>
              <w:rPr>
                <w:rFonts w:ascii="Calibri" w:eastAsia="Times New Roman" w:hAnsi="Calibri" w:cs="Calibri"/>
                <w:color w:val="000000"/>
              </w:rPr>
            </w:pPr>
            <w:r w:rsidRPr="0004647B">
              <w:rPr>
                <w:rFonts w:ascii="Calibri" w:eastAsia="Times New Roman" w:hAnsi="Calibri" w:cs="Calibri"/>
                <w:color w:val="000000"/>
              </w:rPr>
              <w:t>2</w:t>
            </w:r>
          </w:p>
        </w:tc>
        <w:tc>
          <w:tcPr>
            <w:tcW w:w="3488"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REVISIÓN DE PROYECTOS</w:t>
            </w:r>
          </w:p>
        </w:tc>
        <w:tc>
          <w:tcPr>
            <w:tcW w:w="607"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34</w:t>
            </w:r>
          </w:p>
        </w:tc>
        <w:tc>
          <w:tcPr>
            <w:tcW w:w="606"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20</w:t>
            </w:r>
          </w:p>
        </w:tc>
      </w:tr>
      <w:tr w:rsidR="00F30A3C" w:rsidRPr="0004647B" w:rsidTr="00C76B0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99" w:type="pct"/>
            <w:hideMark/>
          </w:tcPr>
          <w:p w:rsidR="00F30A3C" w:rsidRPr="0004647B" w:rsidRDefault="00F30A3C" w:rsidP="00C76B04">
            <w:pPr>
              <w:jc w:val="center"/>
              <w:rPr>
                <w:rFonts w:ascii="Calibri" w:eastAsia="Times New Roman" w:hAnsi="Calibri" w:cs="Calibri"/>
                <w:color w:val="000000"/>
              </w:rPr>
            </w:pPr>
            <w:r w:rsidRPr="0004647B">
              <w:rPr>
                <w:rFonts w:ascii="Calibri" w:eastAsia="Times New Roman" w:hAnsi="Calibri" w:cs="Calibri"/>
                <w:color w:val="000000"/>
              </w:rPr>
              <w:t>3</w:t>
            </w:r>
          </w:p>
        </w:tc>
        <w:tc>
          <w:tcPr>
            <w:tcW w:w="3488"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EXPEDICI</w:t>
            </w:r>
            <w:r>
              <w:rPr>
                <w:rFonts w:ascii="Calibri" w:eastAsia="Times New Roman" w:hAnsi="Calibri" w:cs="Calibri"/>
                <w:color w:val="000000"/>
              </w:rPr>
              <w:t>Ó</w:t>
            </w:r>
            <w:r w:rsidRPr="0004647B">
              <w:rPr>
                <w:rFonts w:ascii="Calibri" w:eastAsia="Times New Roman" w:hAnsi="Calibri" w:cs="Calibri"/>
                <w:color w:val="000000"/>
              </w:rPr>
              <w:t>N DE CONSTANCIAS DE SERVICIO EN EMERGENCIAS</w:t>
            </w:r>
          </w:p>
        </w:tc>
        <w:tc>
          <w:tcPr>
            <w:tcW w:w="607"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655</w:t>
            </w:r>
          </w:p>
        </w:tc>
        <w:tc>
          <w:tcPr>
            <w:tcW w:w="606"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549</w:t>
            </w:r>
          </w:p>
        </w:tc>
      </w:tr>
      <w:tr w:rsidR="00F30A3C" w:rsidRPr="0004647B" w:rsidTr="00C76B04">
        <w:trPr>
          <w:trHeight w:val="420"/>
        </w:trPr>
        <w:tc>
          <w:tcPr>
            <w:cnfStyle w:val="001000000000" w:firstRow="0" w:lastRow="0" w:firstColumn="1" w:lastColumn="0" w:oddVBand="0" w:evenVBand="0" w:oddHBand="0" w:evenHBand="0" w:firstRowFirstColumn="0" w:firstRowLastColumn="0" w:lastRowFirstColumn="0" w:lastRowLastColumn="0"/>
            <w:tcW w:w="299" w:type="pct"/>
            <w:hideMark/>
          </w:tcPr>
          <w:p w:rsidR="00F30A3C" w:rsidRPr="0004647B" w:rsidRDefault="00F30A3C" w:rsidP="00C76B04">
            <w:pPr>
              <w:jc w:val="center"/>
              <w:rPr>
                <w:rFonts w:ascii="Calibri" w:eastAsia="Times New Roman" w:hAnsi="Calibri" w:cs="Calibri"/>
                <w:color w:val="000000"/>
              </w:rPr>
            </w:pPr>
            <w:r w:rsidRPr="0004647B">
              <w:rPr>
                <w:rFonts w:ascii="Calibri" w:eastAsia="Times New Roman" w:hAnsi="Calibri" w:cs="Calibri"/>
                <w:color w:val="000000"/>
              </w:rPr>
              <w:t>4</w:t>
            </w:r>
          </w:p>
        </w:tc>
        <w:tc>
          <w:tcPr>
            <w:tcW w:w="3488"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CAPACITACIÓN A PIROT</w:t>
            </w:r>
            <w:r>
              <w:rPr>
                <w:rFonts w:ascii="Calibri" w:eastAsia="Times New Roman" w:hAnsi="Calibri" w:cs="Calibri"/>
                <w:color w:val="000000"/>
              </w:rPr>
              <w:t>É</w:t>
            </w:r>
            <w:r w:rsidRPr="0004647B">
              <w:rPr>
                <w:rFonts w:ascii="Calibri" w:eastAsia="Times New Roman" w:hAnsi="Calibri" w:cs="Calibri"/>
                <w:color w:val="000000"/>
              </w:rPr>
              <w:t>CNICOS</w:t>
            </w:r>
          </w:p>
        </w:tc>
        <w:tc>
          <w:tcPr>
            <w:tcW w:w="607"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8</w:t>
            </w:r>
          </w:p>
        </w:tc>
        <w:tc>
          <w:tcPr>
            <w:tcW w:w="606"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5</w:t>
            </w:r>
          </w:p>
        </w:tc>
      </w:tr>
      <w:tr w:rsidR="00F30A3C" w:rsidRPr="0004647B" w:rsidTr="00C76B0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99" w:type="pct"/>
            <w:hideMark/>
          </w:tcPr>
          <w:p w:rsidR="00F30A3C" w:rsidRPr="0004647B" w:rsidRDefault="00F30A3C" w:rsidP="00C76B04">
            <w:pPr>
              <w:jc w:val="center"/>
              <w:rPr>
                <w:rFonts w:ascii="Calibri" w:eastAsia="Times New Roman" w:hAnsi="Calibri" w:cs="Calibri"/>
                <w:color w:val="000000"/>
              </w:rPr>
            </w:pPr>
            <w:r w:rsidRPr="0004647B">
              <w:rPr>
                <w:rFonts w:ascii="Calibri" w:eastAsia="Times New Roman" w:hAnsi="Calibri" w:cs="Calibri"/>
                <w:color w:val="000000"/>
              </w:rPr>
              <w:t>5</w:t>
            </w:r>
          </w:p>
        </w:tc>
        <w:tc>
          <w:tcPr>
            <w:tcW w:w="3488"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CAPACITACIÓN EXTERNA EMPRESARIAL</w:t>
            </w:r>
          </w:p>
        </w:tc>
        <w:tc>
          <w:tcPr>
            <w:tcW w:w="607"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270</w:t>
            </w:r>
          </w:p>
        </w:tc>
        <w:tc>
          <w:tcPr>
            <w:tcW w:w="606"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126</w:t>
            </w:r>
          </w:p>
        </w:tc>
      </w:tr>
      <w:tr w:rsidR="00F30A3C" w:rsidRPr="0004647B" w:rsidTr="00C76B04">
        <w:trPr>
          <w:trHeight w:val="420"/>
        </w:trPr>
        <w:tc>
          <w:tcPr>
            <w:cnfStyle w:val="001000000000" w:firstRow="0" w:lastRow="0" w:firstColumn="1" w:lastColumn="0" w:oddVBand="0" w:evenVBand="0" w:oddHBand="0" w:evenHBand="0" w:firstRowFirstColumn="0" w:firstRowLastColumn="0" w:lastRowFirstColumn="0" w:lastRowLastColumn="0"/>
            <w:tcW w:w="299" w:type="pct"/>
            <w:hideMark/>
          </w:tcPr>
          <w:p w:rsidR="00F30A3C" w:rsidRPr="0004647B" w:rsidRDefault="00F30A3C" w:rsidP="00C76B04">
            <w:pPr>
              <w:jc w:val="center"/>
              <w:rPr>
                <w:rFonts w:ascii="Calibri" w:eastAsia="Times New Roman" w:hAnsi="Calibri" w:cs="Calibri"/>
                <w:color w:val="000000"/>
              </w:rPr>
            </w:pPr>
            <w:r w:rsidRPr="0004647B">
              <w:rPr>
                <w:rFonts w:ascii="Calibri" w:eastAsia="Times New Roman" w:hAnsi="Calibri" w:cs="Calibri"/>
                <w:color w:val="000000"/>
              </w:rPr>
              <w:t>6</w:t>
            </w:r>
          </w:p>
        </w:tc>
        <w:tc>
          <w:tcPr>
            <w:tcW w:w="3488"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GESTIÓN DE AGLOMERACIONES</w:t>
            </w:r>
          </w:p>
        </w:tc>
        <w:tc>
          <w:tcPr>
            <w:tcW w:w="607"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1319</w:t>
            </w:r>
          </w:p>
        </w:tc>
        <w:tc>
          <w:tcPr>
            <w:tcW w:w="606"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508</w:t>
            </w:r>
          </w:p>
        </w:tc>
      </w:tr>
      <w:tr w:rsidR="00F30A3C" w:rsidRPr="0004647B" w:rsidTr="00C76B0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99" w:type="pct"/>
            <w:hideMark/>
          </w:tcPr>
          <w:p w:rsidR="00F30A3C" w:rsidRPr="0004647B" w:rsidRDefault="00F30A3C" w:rsidP="00C76B04">
            <w:pPr>
              <w:jc w:val="center"/>
              <w:rPr>
                <w:rFonts w:ascii="Calibri" w:eastAsia="Times New Roman" w:hAnsi="Calibri" w:cs="Calibri"/>
                <w:color w:val="000000"/>
              </w:rPr>
            </w:pPr>
            <w:r w:rsidRPr="0004647B">
              <w:rPr>
                <w:rFonts w:ascii="Calibri" w:eastAsia="Times New Roman" w:hAnsi="Calibri" w:cs="Calibri"/>
                <w:color w:val="000000"/>
              </w:rPr>
              <w:t>7</w:t>
            </w:r>
          </w:p>
        </w:tc>
        <w:tc>
          <w:tcPr>
            <w:tcW w:w="3488"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EJERCICIO DE ENTRENAMIENTO (SIMULACI</w:t>
            </w:r>
            <w:r>
              <w:rPr>
                <w:rFonts w:ascii="Calibri" w:eastAsia="Times New Roman" w:hAnsi="Calibri" w:cs="Calibri"/>
                <w:color w:val="000000"/>
              </w:rPr>
              <w:t>Ó</w:t>
            </w:r>
            <w:r w:rsidRPr="0004647B">
              <w:rPr>
                <w:rFonts w:ascii="Calibri" w:eastAsia="Times New Roman" w:hAnsi="Calibri" w:cs="Calibri"/>
                <w:color w:val="000000"/>
              </w:rPr>
              <w:t>N Y SIMULACRO)</w:t>
            </w:r>
          </w:p>
        </w:tc>
        <w:tc>
          <w:tcPr>
            <w:tcW w:w="607"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59</w:t>
            </w:r>
          </w:p>
        </w:tc>
        <w:tc>
          <w:tcPr>
            <w:tcW w:w="606"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41</w:t>
            </w:r>
          </w:p>
        </w:tc>
      </w:tr>
      <w:tr w:rsidR="00F30A3C" w:rsidRPr="0004647B" w:rsidTr="00C76B04">
        <w:trPr>
          <w:trHeight w:val="420"/>
        </w:trPr>
        <w:tc>
          <w:tcPr>
            <w:cnfStyle w:val="001000000000" w:firstRow="0" w:lastRow="0" w:firstColumn="1" w:lastColumn="0" w:oddVBand="0" w:evenVBand="0" w:oddHBand="0" w:evenHBand="0" w:firstRowFirstColumn="0" w:firstRowLastColumn="0" w:lastRowFirstColumn="0" w:lastRowLastColumn="0"/>
            <w:tcW w:w="299" w:type="pct"/>
            <w:hideMark/>
          </w:tcPr>
          <w:p w:rsidR="00F30A3C" w:rsidRPr="0004647B" w:rsidRDefault="00F30A3C" w:rsidP="00C76B04">
            <w:pPr>
              <w:jc w:val="center"/>
              <w:rPr>
                <w:rFonts w:ascii="Calibri" w:eastAsia="Times New Roman" w:hAnsi="Calibri" w:cs="Calibri"/>
                <w:color w:val="000000"/>
              </w:rPr>
            </w:pPr>
            <w:r w:rsidRPr="0004647B">
              <w:rPr>
                <w:rFonts w:ascii="Calibri" w:eastAsia="Times New Roman" w:hAnsi="Calibri" w:cs="Calibri"/>
                <w:color w:val="000000"/>
              </w:rPr>
              <w:t>8</w:t>
            </w:r>
          </w:p>
        </w:tc>
        <w:tc>
          <w:tcPr>
            <w:tcW w:w="3488"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ATENCIÓN DE EMERGENCIAS</w:t>
            </w:r>
          </w:p>
        </w:tc>
        <w:tc>
          <w:tcPr>
            <w:tcW w:w="607"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33964</w:t>
            </w:r>
          </w:p>
        </w:tc>
        <w:tc>
          <w:tcPr>
            <w:tcW w:w="606"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30764</w:t>
            </w:r>
          </w:p>
        </w:tc>
      </w:tr>
      <w:tr w:rsidR="00F30A3C" w:rsidRPr="0004647B" w:rsidTr="00C76B0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99" w:type="pct"/>
            <w:hideMark/>
          </w:tcPr>
          <w:p w:rsidR="00F30A3C" w:rsidRPr="0004647B" w:rsidRDefault="00F30A3C" w:rsidP="00C76B04">
            <w:pPr>
              <w:jc w:val="center"/>
              <w:rPr>
                <w:rFonts w:ascii="Calibri" w:eastAsia="Times New Roman" w:hAnsi="Calibri" w:cs="Calibri"/>
                <w:color w:val="000000"/>
              </w:rPr>
            </w:pPr>
            <w:r w:rsidRPr="0004647B">
              <w:rPr>
                <w:rFonts w:ascii="Calibri" w:eastAsia="Times New Roman" w:hAnsi="Calibri" w:cs="Calibri"/>
                <w:color w:val="000000"/>
              </w:rPr>
              <w:t>9</w:t>
            </w:r>
          </w:p>
        </w:tc>
        <w:tc>
          <w:tcPr>
            <w:tcW w:w="3488"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CAPACITACIÓN EXTERNA A LA COMUNIDAD</w:t>
            </w:r>
          </w:p>
        </w:tc>
        <w:tc>
          <w:tcPr>
            <w:tcW w:w="607"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278</w:t>
            </w:r>
          </w:p>
        </w:tc>
        <w:tc>
          <w:tcPr>
            <w:tcW w:w="606"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12364</w:t>
            </w:r>
          </w:p>
        </w:tc>
      </w:tr>
      <w:tr w:rsidR="00F30A3C" w:rsidRPr="0004647B" w:rsidTr="00C76B04">
        <w:trPr>
          <w:trHeight w:val="420"/>
        </w:trPr>
        <w:tc>
          <w:tcPr>
            <w:cnfStyle w:val="001000000000" w:firstRow="0" w:lastRow="0" w:firstColumn="1" w:lastColumn="0" w:oddVBand="0" w:evenVBand="0" w:oddHBand="0" w:evenHBand="0" w:firstRowFirstColumn="0" w:firstRowLastColumn="0" w:lastRowFirstColumn="0" w:lastRowLastColumn="0"/>
            <w:tcW w:w="299" w:type="pct"/>
            <w:hideMark/>
          </w:tcPr>
          <w:p w:rsidR="00F30A3C" w:rsidRPr="0004647B" w:rsidRDefault="00F30A3C" w:rsidP="00C76B04">
            <w:pPr>
              <w:jc w:val="center"/>
              <w:rPr>
                <w:rFonts w:ascii="Calibri" w:eastAsia="Times New Roman" w:hAnsi="Calibri" w:cs="Calibri"/>
                <w:color w:val="000000"/>
              </w:rPr>
            </w:pPr>
            <w:r w:rsidRPr="0004647B">
              <w:rPr>
                <w:rFonts w:ascii="Calibri" w:eastAsia="Times New Roman" w:hAnsi="Calibri" w:cs="Calibri"/>
                <w:color w:val="000000"/>
              </w:rPr>
              <w:t>10</w:t>
            </w:r>
          </w:p>
        </w:tc>
        <w:tc>
          <w:tcPr>
            <w:tcW w:w="3488"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CLUB BOMBERITOS</w:t>
            </w:r>
          </w:p>
        </w:tc>
        <w:tc>
          <w:tcPr>
            <w:tcW w:w="607"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89</w:t>
            </w:r>
          </w:p>
        </w:tc>
        <w:tc>
          <w:tcPr>
            <w:tcW w:w="606" w:type="pct"/>
            <w:hideMark/>
          </w:tcPr>
          <w:p w:rsidR="00F30A3C" w:rsidRPr="0004647B" w:rsidRDefault="00F30A3C" w:rsidP="00C76B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37</w:t>
            </w:r>
          </w:p>
        </w:tc>
      </w:tr>
      <w:tr w:rsidR="00F30A3C" w:rsidRPr="0004647B" w:rsidTr="00C76B0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99" w:type="pct"/>
            <w:hideMark/>
          </w:tcPr>
          <w:p w:rsidR="00F30A3C" w:rsidRPr="0004647B" w:rsidRDefault="00F30A3C" w:rsidP="00C76B04">
            <w:pPr>
              <w:jc w:val="center"/>
              <w:rPr>
                <w:rFonts w:ascii="Calibri" w:eastAsia="Times New Roman" w:hAnsi="Calibri" w:cs="Calibri"/>
                <w:color w:val="000000"/>
              </w:rPr>
            </w:pPr>
            <w:r w:rsidRPr="0004647B">
              <w:rPr>
                <w:rFonts w:ascii="Calibri" w:eastAsia="Times New Roman" w:hAnsi="Calibri" w:cs="Calibri"/>
                <w:color w:val="000000"/>
              </w:rPr>
              <w:t>11</w:t>
            </w:r>
          </w:p>
        </w:tc>
        <w:tc>
          <w:tcPr>
            <w:tcW w:w="3488"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SIMULACIONES</w:t>
            </w:r>
          </w:p>
        </w:tc>
        <w:tc>
          <w:tcPr>
            <w:tcW w:w="607"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 </w:t>
            </w:r>
          </w:p>
        </w:tc>
        <w:tc>
          <w:tcPr>
            <w:tcW w:w="606" w:type="pct"/>
            <w:hideMark/>
          </w:tcPr>
          <w:p w:rsidR="00F30A3C" w:rsidRPr="0004647B" w:rsidRDefault="00F30A3C" w:rsidP="00C76B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04647B">
              <w:rPr>
                <w:rFonts w:ascii="Calibri" w:eastAsia="Times New Roman" w:hAnsi="Calibri" w:cs="Calibri"/>
                <w:color w:val="000000"/>
              </w:rPr>
              <w:t> </w:t>
            </w:r>
          </w:p>
        </w:tc>
      </w:tr>
    </w:tbl>
    <w:p w:rsidR="00F30A3C" w:rsidRPr="005A218C" w:rsidRDefault="00F30A3C" w:rsidP="00F30A3C">
      <w:pPr>
        <w:rPr>
          <w:b/>
        </w:rPr>
      </w:pPr>
    </w:p>
    <w:p w:rsidR="00F30A3C" w:rsidRPr="009C5DC2" w:rsidRDefault="00F30A3C" w:rsidP="00F30A3C">
      <w:pPr>
        <w:jc w:val="both"/>
        <w:rPr>
          <w:b/>
        </w:rPr>
      </w:pPr>
      <w:r w:rsidRPr="009C5DC2">
        <w:rPr>
          <w:b/>
        </w:rPr>
        <w:t>Conclusiones y recomendaciones</w:t>
      </w:r>
    </w:p>
    <w:p w:rsidR="00F30A3C" w:rsidRPr="009C5DC2" w:rsidRDefault="00F30A3C" w:rsidP="00F30A3C">
      <w:pPr>
        <w:numPr>
          <w:ilvl w:val="0"/>
          <w:numId w:val="29"/>
        </w:numPr>
        <w:spacing w:after="0" w:line="256" w:lineRule="auto"/>
        <w:jc w:val="both"/>
      </w:pPr>
      <w:bookmarkStart w:id="0" w:name="_heading=h.tbnlvl5gu0d1"/>
      <w:bookmarkEnd w:id="0"/>
      <w:r w:rsidRPr="009C5DC2">
        <w:t>La UAE</w:t>
      </w:r>
      <w:r>
        <w:t xml:space="preserve"> </w:t>
      </w:r>
      <w:r w:rsidRPr="009C5DC2">
        <w:t>C</w:t>
      </w:r>
      <w:r>
        <w:t xml:space="preserve">uerpo </w:t>
      </w:r>
      <w:r w:rsidRPr="009C5DC2">
        <w:t>O</w:t>
      </w:r>
      <w:r>
        <w:t xml:space="preserve">ficial de </w:t>
      </w:r>
      <w:r w:rsidRPr="009C5DC2">
        <w:t>B</w:t>
      </w:r>
      <w:r>
        <w:t>omberos Bogotá</w:t>
      </w:r>
      <w:r w:rsidRPr="009C5DC2">
        <w:t xml:space="preserve"> ha venido realizando la identificación y clasificación de los trámites y OPAS, llegando a una verificación exhaustiva tanto de la metodología del servicio como de su revisión normativa.</w:t>
      </w:r>
      <w:bookmarkStart w:id="1" w:name="_heading=h.y7ea0nmpuu6l"/>
      <w:bookmarkEnd w:id="1"/>
    </w:p>
    <w:p w:rsidR="00F30A3C" w:rsidRPr="009C5DC2" w:rsidRDefault="00F30A3C" w:rsidP="00F30A3C">
      <w:pPr>
        <w:numPr>
          <w:ilvl w:val="0"/>
          <w:numId w:val="29"/>
        </w:numPr>
        <w:spacing w:after="0" w:line="256" w:lineRule="auto"/>
        <w:jc w:val="both"/>
      </w:pPr>
      <w:r w:rsidRPr="009C5DC2">
        <w:t>Se debe continuar con el ejercicio de clasificación de los servicios identificados de acuerdo a los atributos de los trámites y OPAS con la asesoría del DAFP.</w:t>
      </w:r>
    </w:p>
    <w:p w:rsidR="00F30A3C" w:rsidRPr="009C5DC2" w:rsidRDefault="00F30A3C" w:rsidP="00F30A3C">
      <w:pPr>
        <w:numPr>
          <w:ilvl w:val="0"/>
          <w:numId w:val="30"/>
        </w:numPr>
        <w:spacing w:after="0" w:line="256" w:lineRule="auto"/>
        <w:jc w:val="both"/>
      </w:pPr>
      <w:bookmarkStart w:id="2" w:name="_heading=h.sxgt3ubn3nql"/>
      <w:bookmarkStart w:id="3" w:name="_heading=h.a6pjwopqx05f"/>
      <w:bookmarkEnd w:id="2"/>
      <w:bookmarkEnd w:id="3"/>
      <w:r w:rsidRPr="009C5DC2">
        <w:t>Se recomienda continuar la gestión para lograr la inscripción de la totalidad de los trámites y OPAS en el SUIT.</w:t>
      </w:r>
    </w:p>
    <w:p w:rsidR="00F30A3C" w:rsidRPr="009C5DC2" w:rsidRDefault="00F30A3C" w:rsidP="00F30A3C">
      <w:pPr>
        <w:numPr>
          <w:ilvl w:val="0"/>
          <w:numId w:val="30"/>
        </w:numPr>
        <w:spacing w:after="0" w:line="256" w:lineRule="auto"/>
        <w:jc w:val="both"/>
      </w:pPr>
      <w:r w:rsidRPr="009C5DC2">
        <w:t>En conclusión, la UAE</w:t>
      </w:r>
      <w:r>
        <w:t xml:space="preserve"> </w:t>
      </w:r>
      <w:r w:rsidRPr="009C5DC2">
        <w:t>C</w:t>
      </w:r>
      <w:r>
        <w:t xml:space="preserve">uerpo </w:t>
      </w:r>
      <w:r w:rsidRPr="009C5DC2">
        <w:t>O</w:t>
      </w:r>
      <w:r>
        <w:t xml:space="preserve">ficial de </w:t>
      </w:r>
      <w:r w:rsidRPr="009C5DC2">
        <w:t>B</w:t>
      </w:r>
      <w:r>
        <w:t>omberos Bogotá</w:t>
      </w:r>
      <w:r w:rsidRPr="009C5DC2">
        <w:t xml:space="preserve"> pensando en el mejoramiento de los servicios y con el fin de tener una mayor cobertura en los trámites y OPAS se encuentra realizando procesos de virtualización de los mismos.</w:t>
      </w:r>
    </w:p>
    <w:p w:rsidR="00F30A3C" w:rsidRDefault="00F30A3C" w:rsidP="00F30A3C">
      <w:pPr>
        <w:numPr>
          <w:ilvl w:val="0"/>
          <w:numId w:val="30"/>
        </w:numPr>
        <w:spacing w:line="256" w:lineRule="auto"/>
        <w:jc w:val="both"/>
      </w:pPr>
      <w:bookmarkStart w:id="4" w:name="_heading=h.audari5s7fr"/>
      <w:bookmarkEnd w:id="4"/>
      <w:r w:rsidRPr="009C5DC2">
        <w:t>Se recomienda que junto con la virtualización se pued</w:t>
      </w:r>
      <w:r>
        <w:t>a</w:t>
      </w:r>
      <w:r w:rsidRPr="009C5DC2">
        <w:t xml:space="preserve"> acceder de manera electrónica a los pagos pertinentes.</w:t>
      </w:r>
    </w:p>
    <w:p w:rsidR="00F169C9" w:rsidRDefault="00F169C9" w:rsidP="00F169C9">
      <w:pPr>
        <w:spacing w:line="256" w:lineRule="auto"/>
        <w:jc w:val="both"/>
      </w:pPr>
    </w:p>
    <w:p w:rsidR="00F169C9" w:rsidRDefault="00F169C9" w:rsidP="00F169C9">
      <w:pPr>
        <w:spacing w:line="256" w:lineRule="auto"/>
        <w:jc w:val="both"/>
      </w:pPr>
    </w:p>
    <w:p w:rsidR="00F169C9" w:rsidRDefault="00F169C9" w:rsidP="00F169C9">
      <w:pPr>
        <w:spacing w:line="256" w:lineRule="auto"/>
        <w:jc w:val="both"/>
      </w:pPr>
    </w:p>
    <w:p w:rsidR="00F169C9" w:rsidRDefault="00F169C9" w:rsidP="00F169C9">
      <w:pPr>
        <w:spacing w:line="256" w:lineRule="auto"/>
        <w:jc w:val="both"/>
      </w:pPr>
    </w:p>
    <w:p w:rsidR="00F169C9" w:rsidRDefault="00F169C9" w:rsidP="00F169C9">
      <w:pPr>
        <w:spacing w:line="256" w:lineRule="auto"/>
        <w:jc w:val="both"/>
      </w:pPr>
    </w:p>
    <w:p w:rsidR="00F169C9" w:rsidRPr="009C5DC2" w:rsidRDefault="00F169C9" w:rsidP="00F169C9">
      <w:pPr>
        <w:spacing w:line="256" w:lineRule="auto"/>
        <w:jc w:val="both"/>
      </w:pPr>
    </w:p>
    <w:p w:rsidR="0032100F" w:rsidRDefault="0032100F" w:rsidP="00FA3632">
      <w:pPr>
        <w:pStyle w:val="Ttulo1"/>
      </w:pPr>
      <w:r>
        <w:t>Objetivo General</w:t>
      </w:r>
    </w:p>
    <w:p w:rsidR="00F30A3C" w:rsidRDefault="00F30A3C" w:rsidP="00F30A3C">
      <w:pPr>
        <w:spacing w:after="0" w:line="240" w:lineRule="auto"/>
        <w:jc w:val="both"/>
        <w:rPr>
          <w:rFonts w:ascii="Tahoma" w:eastAsia="Tahoma" w:hAnsi="Tahoma" w:cs="Tahoma"/>
          <w:color w:val="000000"/>
        </w:rPr>
      </w:pPr>
      <w:r>
        <w:rPr>
          <w:rFonts w:ascii="Tahoma" w:eastAsia="Tahoma" w:hAnsi="Tahoma" w:cs="Tahoma"/>
        </w:rPr>
        <w:t>Establecer las acciones</w:t>
      </w:r>
      <w:r>
        <w:rPr>
          <w:rFonts w:ascii="Tahoma" w:eastAsia="Tahoma" w:hAnsi="Tahoma" w:cs="Tahoma"/>
        </w:rPr>
        <w:t xml:space="preserve"> de racionalización de otros procedimientos administrativos y trámites de la UAE </w:t>
      </w:r>
      <w:r>
        <w:rPr>
          <w:rFonts w:ascii="Tahoma" w:eastAsia="Tahoma" w:hAnsi="Tahoma" w:cs="Tahoma"/>
        </w:rPr>
        <w:t>Cuerpo Oficial Bomberos de Bogotá</w:t>
      </w:r>
      <w:r>
        <w:rPr>
          <w:rFonts w:ascii="Tahoma" w:eastAsia="Tahoma" w:hAnsi="Tahoma" w:cs="Tahoma"/>
        </w:rPr>
        <w:t xml:space="preserve"> para</w:t>
      </w:r>
      <w:r>
        <w:rPr>
          <w:rFonts w:ascii="Tahoma" w:eastAsia="Tahoma" w:hAnsi="Tahoma" w:cs="Tahoma"/>
        </w:rPr>
        <w:t xml:space="preserve"> </w:t>
      </w:r>
      <w:r>
        <w:rPr>
          <w:rFonts w:ascii="Tahoma" w:eastAsia="Tahoma" w:hAnsi="Tahoma" w:cs="Tahoma"/>
        </w:rPr>
        <w:t>la vigencia 2020 de acuerdo a las disposiciones de la política de racionalización de trámites del Modelo Integrado de Planeación y Gestión.</w:t>
      </w:r>
    </w:p>
    <w:p w:rsidR="00735FE9" w:rsidRDefault="00735FE9" w:rsidP="0032100F">
      <w:pPr>
        <w:pStyle w:val="Sinespaciado"/>
        <w:rPr>
          <w:lang w:val="es-CO"/>
        </w:rPr>
      </w:pPr>
    </w:p>
    <w:p w:rsidR="00735FE9" w:rsidRDefault="00735FE9" w:rsidP="00735FE9">
      <w:pPr>
        <w:pStyle w:val="Ttulo1"/>
      </w:pPr>
      <w:r>
        <w:t xml:space="preserve">Objetivos </w:t>
      </w:r>
      <w:r w:rsidR="00E11D2F">
        <w:t>Específicos</w:t>
      </w:r>
    </w:p>
    <w:p w:rsidR="00735FE9" w:rsidRDefault="00F169C9" w:rsidP="00735FE9">
      <w:pPr>
        <w:pStyle w:val="Sinespaciado"/>
        <w:numPr>
          <w:ilvl w:val="0"/>
          <w:numId w:val="21"/>
        </w:numPr>
        <w:rPr>
          <w:lang w:val="es-CO"/>
        </w:rPr>
      </w:pPr>
      <w:r>
        <w:rPr>
          <w:lang w:val="es-CO"/>
        </w:rPr>
        <w:t>Establecer mejoras en los procedimientos administrativos, OPA, registrados en el SUIT</w:t>
      </w:r>
    </w:p>
    <w:p w:rsidR="003137F8" w:rsidRDefault="00F169C9" w:rsidP="00735FE9">
      <w:pPr>
        <w:pStyle w:val="Sinespaciado"/>
        <w:numPr>
          <w:ilvl w:val="0"/>
          <w:numId w:val="21"/>
        </w:numPr>
        <w:rPr>
          <w:lang w:val="es-CO"/>
        </w:rPr>
      </w:pPr>
      <w:r>
        <w:rPr>
          <w:lang w:val="es-CO"/>
        </w:rPr>
        <w:t>Fortalecer la relación con el ciudadano a través de una mejora en la atención.</w:t>
      </w:r>
    </w:p>
    <w:p w:rsidR="003137F8" w:rsidRDefault="00F169C9" w:rsidP="00735FE9">
      <w:pPr>
        <w:pStyle w:val="Sinespaciado"/>
        <w:numPr>
          <w:ilvl w:val="0"/>
          <w:numId w:val="21"/>
        </w:numPr>
        <w:rPr>
          <w:lang w:val="es-CO"/>
        </w:rPr>
      </w:pPr>
      <w:r>
        <w:rPr>
          <w:lang w:val="es-CO"/>
        </w:rPr>
        <w:t>Facilitar el acceso a los servicios que presta la entidad.</w:t>
      </w:r>
    </w:p>
    <w:p w:rsidR="00F459F0" w:rsidRDefault="00F459F0" w:rsidP="004E1394">
      <w:pPr>
        <w:pStyle w:val="Sinespaciado"/>
      </w:pPr>
    </w:p>
    <w:p w:rsidR="00F459F0" w:rsidRDefault="00F459F0" w:rsidP="004E1394">
      <w:pPr>
        <w:pStyle w:val="Sinespaciado"/>
      </w:pPr>
    </w:p>
    <w:p w:rsidR="004E1394" w:rsidRDefault="00F169C9" w:rsidP="00F459F0">
      <w:pPr>
        <w:pStyle w:val="Ttulo1"/>
      </w:pPr>
      <w:r>
        <w:t xml:space="preserve">Plan </w:t>
      </w:r>
      <w:bookmarkStart w:id="5" w:name="_GoBack"/>
      <w:r>
        <w:t>anti</w:t>
      </w:r>
      <w:bookmarkEnd w:id="5"/>
      <w:r>
        <w:t>trámites</w:t>
      </w:r>
    </w:p>
    <w:p w:rsidR="003D285E" w:rsidRDefault="003D285E" w:rsidP="003D285E"/>
    <w:p w:rsidR="00F169C9" w:rsidRPr="009C5DC2" w:rsidRDefault="00F169C9" w:rsidP="00F169C9">
      <w:pPr>
        <w:pStyle w:val="Prrafodelista"/>
        <w:ind w:left="0"/>
        <w:jc w:val="both"/>
      </w:pPr>
      <w:r>
        <w:t>L</w:t>
      </w:r>
      <w:r w:rsidRPr="009C5DC2">
        <w:t>a Unidad Administrativa Especial Cuerpo Oficial Bomberos de Bogotá ha formulado las actividades del componente II del Plan Anticorrupción y de Atención al Ciudadano 2021 como lo establece el artículo 73 de la ley 1474 de 2011 y siguiendo la metodología adoptada en el Decreto 124 de 2016 y consignada en el documento “Estrategias para la construcción del plan anticorrupción y de atención al ciudadano” Versión 2 de 2015.</w:t>
      </w:r>
    </w:p>
    <w:p w:rsidR="00F169C9" w:rsidRPr="009C5DC2" w:rsidRDefault="00F169C9" w:rsidP="00F169C9">
      <w:pPr>
        <w:pStyle w:val="Prrafodelista"/>
        <w:ind w:left="0"/>
        <w:jc w:val="both"/>
      </w:pPr>
    </w:p>
    <w:p w:rsidR="00F169C9" w:rsidRDefault="00F169C9" w:rsidP="00F169C9">
      <w:pPr>
        <w:pStyle w:val="Prrafodelista"/>
        <w:ind w:left="0"/>
        <w:jc w:val="both"/>
      </w:pPr>
      <w:r w:rsidRPr="009C5DC2">
        <w:t>De igual forma, este plan está alineado con la política de racionalización de trámites del  Modelo Integrado de Planeación y gestión, MIPG, en su Dimensión de gestión con valores para resultados, la cual tiene como propósito reducir los costos de transacción en la interacción de los ciudadanos con el Estado, a través de la racionalización, simplificación y automatización de los trámites; de modo que los ciudadanos accedan a sus derechos, cumplan obligaciones y desarrollen actividades comerciales o económicas de manera ágil y efectiva frente al Estado” (Manual Operativo MIPG, 2019, p. 24).</w:t>
      </w:r>
    </w:p>
    <w:p w:rsidR="00F169C9" w:rsidRDefault="00F169C9" w:rsidP="00F169C9">
      <w:pPr>
        <w:pStyle w:val="Prrafodelista"/>
        <w:ind w:left="0"/>
        <w:jc w:val="both"/>
      </w:pPr>
    </w:p>
    <w:p w:rsidR="00F169C9" w:rsidRDefault="00F169C9" w:rsidP="00F169C9">
      <w:pPr>
        <w:pStyle w:val="Prrafodelista"/>
        <w:ind w:left="0"/>
        <w:jc w:val="both"/>
      </w:pPr>
    </w:p>
    <w:p w:rsidR="00F169C9" w:rsidRDefault="00F169C9" w:rsidP="00F169C9">
      <w:pPr>
        <w:pStyle w:val="Prrafodelista"/>
        <w:ind w:left="0"/>
        <w:jc w:val="both"/>
      </w:pPr>
    </w:p>
    <w:p w:rsidR="00E11D2F" w:rsidRDefault="00E11D2F" w:rsidP="003D285E"/>
    <w:p w:rsidR="00F169C9" w:rsidRDefault="00F169C9" w:rsidP="00F169C9">
      <w:pPr>
        <w:pStyle w:val="Descripcin"/>
        <w:keepNext/>
      </w:pPr>
    </w:p>
    <w:p w:rsidR="00F169C9" w:rsidRDefault="00F169C9" w:rsidP="00F169C9">
      <w:pPr>
        <w:pStyle w:val="Descripcin"/>
        <w:keepNext/>
      </w:pPr>
    </w:p>
    <w:p w:rsidR="00F169C9" w:rsidRDefault="00F169C9" w:rsidP="00F169C9">
      <w:pPr>
        <w:pStyle w:val="Descripcin"/>
        <w:keepNext/>
      </w:pPr>
      <w:r>
        <w:t xml:space="preserve">Tabla </w:t>
      </w:r>
      <w:r>
        <w:fldChar w:fldCharType="begin"/>
      </w:r>
      <w:r>
        <w:instrText xml:space="preserve"> SEQ Tabla \* ARABIC </w:instrText>
      </w:r>
      <w:r>
        <w:fldChar w:fldCharType="separate"/>
      </w:r>
      <w:r>
        <w:rPr>
          <w:noProof/>
        </w:rPr>
        <w:t>1</w:t>
      </w:r>
      <w:r>
        <w:fldChar w:fldCharType="end"/>
      </w:r>
      <w:r>
        <w:t xml:space="preserve"> Estrategia Racionalización Trámites SUIT 2021</w:t>
      </w:r>
    </w:p>
    <w:tbl>
      <w:tblPr>
        <w:tblW w:w="11071" w:type="dxa"/>
        <w:tblInd w:w="-709" w:type="dxa"/>
        <w:tblCellMar>
          <w:left w:w="70" w:type="dxa"/>
          <w:right w:w="70" w:type="dxa"/>
        </w:tblCellMar>
        <w:tblLook w:val="04A0" w:firstRow="1" w:lastRow="0" w:firstColumn="1" w:lastColumn="0" w:noHBand="0" w:noVBand="1"/>
      </w:tblPr>
      <w:tblGrid>
        <w:gridCol w:w="1145"/>
        <w:gridCol w:w="315"/>
        <w:gridCol w:w="315"/>
        <w:gridCol w:w="895"/>
        <w:gridCol w:w="568"/>
        <w:gridCol w:w="949"/>
        <w:gridCol w:w="1058"/>
        <w:gridCol w:w="536"/>
        <w:gridCol w:w="475"/>
        <w:gridCol w:w="281"/>
        <w:gridCol w:w="769"/>
        <w:gridCol w:w="769"/>
        <w:gridCol w:w="281"/>
        <w:gridCol w:w="778"/>
        <w:gridCol w:w="525"/>
        <w:gridCol w:w="525"/>
        <w:gridCol w:w="887"/>
      </w:tblGrid>
      <w:tr w:rsidR="00F169C9" w:rsidRPr="0047548D" w:rsidTr="00C76B04">
        <w:trPr>
          <w:trHeight w:val="930"/>
        </w:trPr>
        <w:tc>
          <w:tcPr>
            <w:tcW w:w="0" w:type="auto"/>
            <w:gridSpan w:val="2"/>
            <w:tcBorders>
              <w:top w:val="single" w:sz="4" w:space="0" w:color="auto"/>
              <w:left w:val="single" w:sz="4" w:space="0" w:color="auto"/>
              <w:bottom w:val="nil"/>
              <w:right w:val="nil"/>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r w:rsidRPr="0047548D">
              <w:rPr>
                <w:rFonts w:ascii="SansSerif" w:eastAsia="Times New Roman" w:hAnsi="SansSerif" w:cs="Arial"/>
                <w:b/>
                <w:bCs/>
                <w:color w:val="000000"/>
                <w:sz w:val="18"/>
                <w:szCs w:val="24"/>
                <w:lang w:eastAsia="es-CO"/>
              </w:rPr>
              <w:t>Nombre de la entidad:</w:t>
            </w:r>
          </w:p>
        </w:tc>
        <w:tc>
          <w:tcPr>
            <w:tcW w:w="0" w:type="auto"/>
            <w:gridSpan w:val="12"/>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b/>
                <w:bCs/>
                <w:color w:val="000000"/>
                <w:sz w:val="18"/>
                <w:szCs w:val="24"/>
                <w:lang w:eastAsia="es-CO"/>
              </w:rPr>
              <w:t xml:space="preserve">UNIDAD ADMINISTRATIVA ESPECIAL CUERPO OFICIAL BOMBEROS BOGOTÁ </w:t>
            </w:r>
            <w:r w:rsidRPr="0047548D">
              <w:rPr>
                <w:rFonts w:ascii="SansSerif" w:eastAsia="Times New Roman" w:hAnsi="SansSerif" w:cs="Arial"/>
                <w:color w:val="000000"/>
                <w:sz w:val="18"/>
                <w:szCs w:val="20"/>
                <w:lang w:eastAsia="es-CO"/>
              </w:rPr>
              <w:t> </w:t>
            </w:r>
          </w:p>
        </w:tc>
        <w:tc>
          <w:tcPr>
            <w:tcW w:w="0" w:type="auto"/>
            <w:tcBorders>
              <w:top w:val="single" w:sz="4" w:space="0" w:color="auto"/>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single" w:sz="4" w:space="0" w:color="auto"/>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887" w:type="dxa"/>
            <w:tcBorders>
              <w:top w:val="single" w:sz="4" w:space="0" w:color="auto"/>
              <w:left w:val="nil"/>
              <w:bottom w:val="nil"/>
              <w:right w:val="single" w:sz="4" w:space="0" w:color="auto"/>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r>
      <w:tr w:rsidR="00F169C9" w:rsidRPr="0047548D" w:rsidTr="00C76B04">
        <w:trPr>
          <w:trHeight w:val="180"/>
        </w:trPr>
        <w:tc>
          <w:tcPr>
            <w:tcW w:w="0" w:type="auto"/>
            <w:tcBorders>
              <w:top w:val="nil"/>
              <w:left w:val="single" w:sz="4" w:space="0" w:color="auto"/>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gridSpan w:val="2"/>
            <w:vMerge w:val="restart"/>
            <w:tcBorders>
              <w:top w:val="nil"/>
              <w:left w:val="nil"/>
              <w:bottom w:val="nil"/>
              <w:right w:val="single" w:sz="4" w:space="0" w:color="auto"/>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r w:rsidRPr="0047548D">
              <w:rPr>
                <w:rFonts w:ascii="SansSerif" w:eastAsia="Times New Roman" w:hAnsi="SansSerif" w:cs="Arial"/>
                <w:b/>
                <w:bCs/>
                <w:color w:val="000000"/>
                <w:sz w:val="18"/>
                <w:szCs w:val="24"/>
                <w:lang w:eastAsia="es-CO"/>
              </w:rPr>
              <w:t>Orden:</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r w:rsidRPr="0047548D">
              <w:rPr>
                <w:rFonts w:ascii="SansSerif" w:eastAsia="Times New Roman" w:hAnsi="SansSerif" w:cs="Arial"/>
                <w:b/>
                <w:bCs/>
                <w:color w:val="000000"/>
                <w:sz w:val="18"/>
                <w:szCs w:val="24"/>
                <w:lang w:eastAsia="es-CO"/>
              </w:rPr>
              <w:t>Territorial</w:t>
            </w:r>
          </w:p>
        </w:tc>
        <w:tc>
          <w:tcPr>
            <w:tcW w:w="0" w:type="auto"/>
            <w:tcBorders>
              <w:top w:val="nil"/>
              <w:left w:val="single" w:sz="4" w:space="0" w:color="auto"/>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887" w:type="dxa"/>
            <w:tcBorders>
              <w:top w:val="nil"/>
              <w:left w:val="nil"/>
              <w:bottom w:val="nil"/>
              <w:right w:val="single" w:sz="4" w:space="0" w:color="auto"/>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r>
      <w:tr w:rsidR="00F169C9" w:rsidRPr="0047548D" w:rsidTr="00C76B04">
        <w:trPr>
          <w:trHeight w:val="321"/>
        </w:trPr>
        <w:tc>
          <w:tcPr>
            <w:tcW w:w="0" w:type="auto"/>
            <w:gridSpan w:val="2"/>
            <w:vMerge w:val="restart"/>
            <w:tcBorders>
              <w:top w:val="nil"/>
              <w:left w:val="single" w:sz="4" w:space="0" w:color="auto"/>
              <w:bottom w:val="nil"/>
              <w:right w:val="nil"/>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r w:rsidRPr="0047548D">
              <w:rPr>
                <w:rFonts w:ascii="SansSerif" w:eastAsia="Times New Roman" w:hAnsi="SansSerif" w:cs="Arial"/>
                <w:b/>
                <w:bCs/>
                <w:color w:val="000000"/>
                <w:sz w:val="18"/>
                <w:szCs w:val="24"/>
                <w:lang w:eastAsia="es-CO"/>
              </w:rPr>
              <w:t>Sector administrativo:</w:t>
            </w:r>
          </w:p>
        </w:tc>
        <w:tc>
          <w:tcPr>
            <w:tcW w:w="0" w:type="auto"/>
            <w:gridSpan w:val="6"/>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r w:rsidRPr="0047548D">
              <w:rPr>
                <w:rFonts w:ascii="SansSerif" w:eastAsia="Times New Roman" w:hAnsi="SansSerif" w:cs="Arial"/>
                <w:b/>
                <w:bCs/>
                <w:color w:val="000000"/>
                <w:sz w:val="18"/>
                <w:szCs w:val="24"/>
                <w:lang w:eastAsia="es-CO"/>
              </w:rPr>
              <w:t>No Aplica</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gridSpan w:val="2"/>
            <w:vMerge/>
            <w:tcBorders>
              <w:top w:val="nil"/>
              <w:left w:val="nil"/>
              <w:bottom w:val="nil"/>
              <w:right w:val="single" w:sz="4" w:space="0" w:color="auto"/>
            </w:tcBorders>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p>
        </w:tc>
        <w:tc>
          <w:tcPr>
            <w:tcW w:w="0" w:type="auto"/>
            <w:gridSpan w:val="3"/>
            <w:vMerge/>
            <w:tcBorders>
              <w:top w:val="nil"/>
              <w:left w:val="single" w:sz="4" w:space="0" w:color="auto"/>
              <w:bottom w:val="single" w:sz="4" w:space="0" w:color="auto"/>
              <w:right w:val="single" w:sz="4" w:space="0" w:color="auto"/>
            </w:tcBorders>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p>
        </w:tc>
        <w:tc>
          <w:tcPr>
            <w:tcW w:w="0" w:type="auto"/>
            <w:tcBorders>
              <w:top w:val="nil"/>
              <w:left w:val="single" w:sz="4" w:space="0" w:color="auto"/>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887" w:type="dxa"/>
            <w:tcBorders>
              <w:top w:val="nil"/>
              <w:left w:val="nil"/>
              <w:bottom w:val="nil"/>
              <w:right w:val="single" w:sz="4" w:space="0" w:color="auto"/>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r>
      <w:tr w:rsidR="00F169C9" w:rsidRPr="0047548D" w:rsidTr="00C76B04">
        <w:trPr>
          <w:trHeight w:val="180"/>
        </w:trPr>
        <w:tc>
          <w:tcPr>
            <w:tcW w:w="0" w:type="auto"/>
            <w:gridSpan w:val="2"/>
            <w:vMerge/>
            <w:tcBorders>
              <w:top w:val="nil"/>
              <w:left w:val="single" w:sz="4" w:space="0" w:color="auto"/>
              <w:bottom w:val="nil"/>
              <w:right w:val="nil"/>
            </w:tcBorders>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p>
        </w:tc>
        <w:tc>
          <w:tcPr>
            <w:tcW w:w="0" w:type="auto"/>
            <w:gridSpan w:val="6"/>
            <w:vMerge/>
            <w:tcBorders>
              <w:top w:val="single" w:sz="8" w:space="0" w:color="000000"/>
              <w:left w:val="single" w:sz="8" w:space="0" w:color="000000"/>
              <w:bottom w:val="single" w:sz="8" w:space="0" w:color="000000"/>
              <w:right w:val="single" w:sz="8" w:space="0" w:color="000000"/>
            </w:tcBorders>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single" w:sz="4" w:space="0" w:color="auto"/>
              <w:left w:val="nil"/>
              <w:bottom w:val="single" w:sz="4" w:space="0" w:color="auto"/>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single" w:sz="4" w:space="0" w:color="auto"/>
              <w:left w:val="nil"/>
              <w:bottom w:val="single" w:sz="4" w:space="0" w:color="auto"/>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single" w:sz="4" w:space="0" w:color="auto"/>
              <w:left w:val="nil"/>
              <w:bottom w:val="single" w:sz="4" w:space="0" w:color="auto"/>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887" w:type="dxa"/>
            <w:tcBorders>
              <w:top w:val="nil"/>
              <w:left w:val="nil"/>
              <w:bottom w:val="nil"/>
              <w:right w:val="single" w:sz="4" w:space="0" w:color="auto"/>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r>
      <w:tr w:rsidR="00F169C9" w:rsidRPr="0047548D" w:rsidTr="00C76B04">
        <w:trPr>
          <w:trHeight w:val="180"/>
        </w:trPr>
        <w:tc>
          <w:tcPr>
            <w:tcW w:w="0" w:type="auto"/>
            <w:tcBorders>
              <w:top w:val="nil"/>
              <w:left w:val="single" w:sz="4" w:space="0" w:color="auto"/>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gridSpan w:val="2"/>
            <w:vMerge w:val="restart"/>
            <w:tcBorders>
              <w:top w:val="nil"/>
              <w:left w:val="nil"/>
              <w:bottom w:val="nil"/>
              <w:right w:val="single" w:sz="4" w:space="0" w:color="auto"/>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r w:rsidRPr="0047548D">
              <w:rPr>
                <w:rFonts w:ascii="SansSerif" w:eastAsia="Times New Roman" w:hAnsi="SansSerif" w:cs="Arial"/>
                <w:b/>
                <w:bCs/>
                <w:color w:val="000000"/>
                <w:sz w:val="18"/>
                <w:szCs w:val="24"/>
                <w:lang w:eastAsia="es-CO"/>
              </w:rPr>
              <w:t>Año vigencia:</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r w:rsidRPr="0047548D">
              <w:rPr>
                <w:rFonts w:ascii="SansSerif" w:eastAsia="Times New Roman" w:hAnsi="SansSerif" w:cs="Arial"/>
                <w:b/>
                <w:bCs/>
                <w:color w:val="000000"/>
                <w:sz w:val="18"/>
                <w:szCs w:val="24"/>
                <w:lang w:eastAsia="es-CO"/>
              </w:rPr>
              <w:t>2021</w:t>
            </w:r>
          </w:p>
        </w:tc>
        <w:tc>
          <w:tcPr>
            <w:tcW w:w="0" w:type="auto"/>
            <w:tcBorders>
              <w:top w:val="nil"/>
              <w:left w:val="single" w:sz="4" w:space="0" w:color="auto"/>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887" w:type="dxa"/>
            <w:tcBorders>
              <w:top w:val="nil"/>
              <w:left w:val="nil"/>
              <w:bottom w:val="nil"/>
              <w:right w:val="single" w:sz="4" w:space="0" w:color="auto"/>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r>
      <w:tr w:rsidR="00F169C9" w:rsidRPr="0047548D" w:rsidTr="00C76B04">
        <w:trPr>
          <w:trHeight w:val="321"/>
        </w:trPr>
        <w:tc>
          <w:tcPr>
            <w:tcW w:w="0" w:type="auto"/>
            <w:gridSpan w:val="2"/>
            <w:vMerge w:val="restart"/>
            <w:tcBorders>
              <w:top w:val="nil"/>
              <w:left w:val="single" w:sz="4" w:space="0" w:color="auto"/>
              <w:bottom w:val="nil"/>
              <w:right w:val="nil"/>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r w:rsidRPr="0047548D">
              <w:rPr>
                <w:rFonts w:ascii="SansSerif" w:eastAsia="Times New Roman" w:hAnsi="SansSerif" w:cs="Arial"/>
                <w:b/>
                <w:bCs/>
                <w:color w:val="000000"/>
                <w:sz w:val="18"/>
                <w:szCs w:val="24"/>
                <w:lang w:eastAsia="es-CO"/>
              </w:rPr>
              <w:t>Departamento:</w:t>
            </w:r>
          </w:p>
        </w:tc>
        <w:tc>
          <w:tcPr>
            <w:tcW w:w="0" w:type="auto"/>
            <w:gridSpan w:val="6"/>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r w:rsidRPr="0047548D">
              <w:rPr>
                <w:rFonts w:ascii="SansSerif" w:eastAsia="Times New Roman" w:hAnsi="SansSerif" w:cs="Arial"/>
                <w:b/>
                <w:bCs/>
                <w:color w:val="000000"/>
                <w:sz w:val="18"/>
                <w:szCs w:val="24"/>
                <w:lang w:eastAsia="es-CO"/>
              </w:rPr>
              <w:t>Bogotá D.C</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gridSpan w:val="2"/>
            <w:vMerge/>
            <w:tcBorders>
              <w:top w:val="nil"/>
              <w:left w:val="nil"/>
              <w:bottom w:val="nil"/>
              <w:right w:val="single" w:sz="4" w:space="0" w:color="auto"/>
            </w:tcBorders>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p>
        </w:tc>
        <w:tc>
          <w:tcPr>
            <w:tcW w:w="0" w:type="auto"/>
            <w:gridSpan w:val="3"/>
            <w:vMerge/>
            <w:tcBorders>
              <w:top w:val="nil"/>
              <w:left w:val="single" w:sz="4" w:space="0" w:color="auto"/>
              <w:bottom w:val="single" w:sz="4" w:space="0" w:color="auto"/>
              <w:right w:val="single" w:sz="4" w:space="0" w:color="auto"/>
            </w:tcBorders>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p>
        </w:tc>
        <w:tc>
          <w:tcPr>
            <w:tcW w:w="0" w:type="auto"/>
            <w:tcBorders>
              <w:top w:val="nil"/>
              <w:left w:val="single" w:sz="4" w:space="0" w:color="auto"/>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887" w:type="dxa"/>
            <w:tcBorders>
              <w:top w:val="nil"/>
              <w:left w:val="nil"/>
              <w:bottom w:val="nil"/>
              <w:right w:val="single" w:sz="4" w:space="0" w:color="auto"/>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r>
      <w:tr w:rsidR="00F169C9" w:rsidRPr="0047548D" w:rsidTr="00C76B04">
        <w:trPr>
          <w:trHeight w:val="120"/>
        </w:trPr>
        <w:tc>
          <w:tcPr>
            <w:tcW w:w="0" w:type="auto"/>
            <w:gridSpan w:val="2"/>
            <w:vMerge/>
            <w:tcBorders>
              <w:top w:val="nil"/>
              <w:left w:val="single" w:sz="4" w:space="0" w:color="auto"/>
              <w:bottom w:val="nil"/>
              <w:right w:val="nil"/>
            </w:tcBorders>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p>
        </w:tc>
        <w:tc>
          <w:tcPr>
            <w:tcW w:w="0" w:type="auto"/>
            <w:gridSpan w:val="6"/>
            <w:vMerge/>
            <w:tcBorders>
              <w:top w:val="single" w:sz="8" w:space="0" w:color="000000"/>
              <w:left w:val="single" w:sz="8" w:space="0" w:color="000000"/>
              <w:bottom w:val="single" w:sz="8" w:space="0" w:color="000000"/>
              <w:right w:val="single" w:sz="8" w:space="0" w:color="000000"/>
            </w:tcBorders>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single" w:sz="4" w:space="0" w:color="auto"/>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single" w:sz="4" w:space="0" w:color="auto"/>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single" w:sz="4" w:space="0" w:color="auto"/>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887" w:type="dxa"/>
            <w:tcBorders>
              <w:top w:val="nil"/>
              <w:left w:val="nil"/>
              <w:bottom w:val="nil"/>
              <w:right w:val="single" w:sz="4" w:space="0" w:color="auto"/>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r>
      <w:tr w:rsidR="00F169C9" w:rsidRPr="0047548D" w:rsidTr="00C76B04">
        <w:trPr>
          <w:trHeight w:val="60"/>
        </w:trPr>
        <w:tc>
          <w:tcPr>
            <w:tcW w:w="0" w:type="auto"/>
            <w:gridSpan w:val="2"/>
            <w:vMerge/>
            <w:tcBorders>
              <w:top w:val="nil"/>
              <w:left w:val="single" w:sz="4" w:space="0" w:color="auto"/>
              <w:bottom w:val="nil"/>
              <w:right w:val="nil"/>
            </w:tcBorders>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p>
        </w:tc>
        <w:tc>
          <w:tcPr>
            <w:tcW w:w="0" w:type="auto"/>
            <w:gridSpan w:val="6"/>
            <w:vMerge/>
            <w:tcBorders>
              <w:top w:val="single" w:sz="8" w:space="0" w:color="000000"/>
              <w:left w:val="single" w:sz="8" w:space="0" w:color="000000"/>
              <w:bottom w:val="single" w:sz="8" w:space="0" w:color="000000"/>
              <w:right w:val="single" w:sz="8" w:space="0" w:color="000000"/>
            </w:tcBorders>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gridSpan w:val="5"/>
            <w:vMerge w:val="restart"/>
            <w:tcBorders>
              <w:top w:val="nil"/>
              <w:left w:val="nil"/>
              <w:bottom w:val="nil"/>
              <w:right w:val="nil"/>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333300"/>
                <w:sz w:val="18"/>
                <w:szCs w:val="24"/>
                <w:lang w:eastAsia="es-CO"/>
              </w:rPr>
            </w:pPr>
            <w:r w:rsidRPr="0047548D">
              <w:rPr>
                <w:rFonts w:ascii="SansSerif" w:eastAsia="Times New Roman" w:hAnsi="SansSerif" w:cs="Arial"/>
                <w:b/>
                <w:bCs/>
                <w:color w:val="333300"/>
                <w:sz w:val="18"/>
                <w:szCs w:val="24"/>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887" w:type="dxa"/>
            <w:tcBorders>
              <w:top w:val="nil"/>
              <w:left w:val="nil"/>
              <w:bottom w:val="nil"/>
              <w:right w:val="single" w:sz="4" w:space="0" w:color="auto"/>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r>
      <w:tr w:rsidR="00F169C9" w:rsidRPr="0047548D" w:rsidTr="00C76B04">
        <w:trPr>
          <w:trHeight w:val="219"/>
        </w:trPr>
        <w:tc>
          <w:tcPr>
            <w:tcW w:w="0" w:type="auto"/>
            <w:tcBorders>
              <w:top w:val="nil"/>
              <w:left w:val="single" w:sz="4" w:space="0" w:color="auto"/>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gridSpan w:val="5"/>
            <w:vMerge/>
            <w:tcBorders>
              <w:top w:val="nil"/>
              <w:left w:val="nil"/>
              <w:bottom w:val="nil"/>
              <w:right w:val="nil"/>
            </w:tcBorders>
            <w:vAlign w:val="center"/>
            <w:hideMark/>
          </w:tcPr>
          <w:p w:rsidR="00F169C9" w:rsidRPr="0047548D" w:rsidRDefault="00F169C9" w:rsidP="00C76B04">
            <w:pPr>
              <w:spacing w:after="0" w:line="240" w:lineRule="auto"/>
              <w:rPr>
                <w:rFonts w:ascii="SansSerif" w:eastAsia="Times New Roman" w:hAnsi="SansSerif" w:cs="Arial"/>
                <w:b/>
                <w:bCs/>
                <w:color w:val="333300"/>
                <w:sz w:val="18"/>
                <w:szCs w:val="24"/>
                <w:lang w:eastAsia="es-CO"/>
              </w:rPr>
            </w:pP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887" w:type="dxa"/>
            <w:tcBorders>
              <w:top w:val="nil"/>
              <w:left w:val="nil"/>
              <w:bottom w:val="nil"/>
              <w:right w:val="single" w:sz="4" w:space="0" w:color="auto"/>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r>
      <w:tr w:rsidR="00F169C9" w:rsidRPr="0047548D" w:rsidTr="00C76B04">
        <w:trPr>
          <w:trHeight w:val="120"/>
        </w:trPr>
        <w:tc>
          <w:tcPr>
            <w:tcW w:w="0" w:type="auto"/>
            <w:gridSpan w:val="2"/>
            <w:vMerge w:val="restart"/>
            <w:tcBorders>
              <w:top w:val="nil"/>
              <w:left w:val="single" w:sz="4" w:space="0" w:color="auto"/>
              <w:bottom w:val="nil"/>
              <w:right w:val="nil"/>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r w:rsidRPr="0047548D">
              <w:rPr>
                <w:rFonts w:ascii="SansSerif" w:eastAsia="Times New Roman" w:hAnsi="SansSerif" w:cs="Arial"/>
                <w:b/>
                <w:bCs/>
                <w:color w:val="000000"/>
                <w:sz w:val="18"/>
                <w:szCs w:val="24"/>
                <w:lang w:eastAsia="es-CO"/>
              </w:rPr>
              <w:t>Municipio:</w:t>
            </w:r>
          </w:p>
        </w:tc>
        <w:tc>
          <w:tcPr>
            <w:tcW w:w="0" w:type="auto"/>
            <w:gridSpan w:val="6"/>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r w:rsidRPr="0047548D">
              <w:rPr>
                <w:rFonts w:ascii="SansSerif" w:eastAsia="Times New Roman" w:hAnsi="SansSerif" w:cs="Arial"/>
                <w:b/>
                <w:bCs/>
                <w:color w:val="000000"/>
                <w:sz w:val="18"/>
                <w:szCs w:val="24"/>
                <w:lang w:eastAsia="es-CO"/>
              </w:rPr>
              <w:t>BOGOTÁ</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gridSpan w:val="5"/>
            <w:vMerge/>
            <w:tcBorders>
              <w:top w:val="nil"/>
              <w:left w:val="nil"/>
              <w:bottom w:val="nil"/>
              <w:right w:val="nil"/>
            </w:tcBorders>
            <w:vAlign w:val="center"/>
            <w:hideMark/>
          </w:tcPr>
          <w:p w:rsidR="00F169C9" w:rsidRPr="0047548D" w:rsidRDefault="00F169C9" w:rsidP="00C76B04">
            <w:pPr>
              <w:spacing w:after="0" w:line="240" w:lineRule="auto"/>
              <w:rPr>
                <w:rFonts w:ascii="SansSerif" w:eastAsia="Times New Roman" w:hAnsi="SansSerif" w:cs="Arial"/>
                <w:b/>
                <w:bCs/>
                <w:color w:val="333300"/>
                <w:sz w:val="18"/>
                <w:szCs w:val="24"/>
                <w:lang w:eastAsia="es-CO"/>
              </w:rPr>
            </w:pP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887" w:type="dxa"/>
            <w:tcBorders>
              <w:top w:val="nil"/>
              <w:left w:val="nil"/>
              <w:bottom w:val="nil"/>
              <w:right w:val="single" w:sz="4" w:space="0" w:color="auto"/>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r>
      <w:tr w:rsidR="00F169C9" w:rsidRPr="0047548D" w:rsidTr="00C76B04">
        <w:trPr>
          <w:trHeight w:val="381"/>
        </w:trPr>
        <w:tc>
          <w:tcPr>
            <w:tcW w:w="0" w:type="auto"/>
            <w:gridSpan w:val="2"/>
            <w:vMerge/>
            <w:tcBorders>
              <w:top w:val="nil"/>
              <w:left w:val="single" w:sz="4" w:space="0" w:color="auto"/>
              <w:bottom w:val="nil"/>
              <w:right w:val="nil"/>
            </w:tcBorders>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p>
        </w:tc>
        <w:tc>
          <w:tcPr>
            <w:tcW w:w="0" w:type="auto"/>
            <w:gridSpan w:val="6"/>
            <w:vMerge/>
            <w:tcBorders>
              <w:top w:val="single" w:sz="8" w:space="0" w:color="000000"/>
              <w:left w:val="single" w:sz="8" w:space="0" w:color="000000"/>
              <w:bottom w:val="single" w:sz="8" w:space="0" w:color="000000"/>
              <w:right w:val="single" w:sz="8" w:space="0" w:color="000000"/>
            </w:tcBorders>
            <w:vAlign w:val="center"/>
            <w:hideMark/>
          </w:tcPr>
          <w:p w:rsidR="00F169C9" w:rsidRPr="0047548D" w:rsidRDefault="00F169C9" w:rsidP="00C76B04">
            <w:pPr>
              <w:spacing w:after="0" w:line="240" w:lineRule="auto"/>
              <w:rPr>
                <w:rFonts w:ascii="SansSerif" w:eastAsia="Times New Roman" w:hAnsi="SansSerif" w:cs="Arial"/>
                <w:b/>
                <w:bCs/>
                <w:color w:val="000000"/>
                <w:sz w:val="18"/>
                <w:szCs w:val="24"/>
                <w:lang w:eastAsia="es-CO"/>
              </w:rPr>
            </w:pP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887" w:type="dxa"/>
            <w:tcBorders>
              <w:top w:val="nil"/>
              <w:left w:val="nil"/>
              <w:bottom w:val="nil"/>
              <w:right w:val="single" w:sz="4" w:space="0" w:color="auto"/>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r>
      <w:tr w:rsidR="00F169C9" w:rsidRPr="0047548D" w:rsidTr="00C76B04">
        <w:trPr>
          <w:trHeight w:val="399"/>
        </w:trPr>
        <w:tc>
          <w:tcPr>
            <w:tcW w:w="0" w:type="auto"/>
            <w:gridSpan w:val="15"/>
            <w:tcBorders>
              <w:top w:val="nil"/>
              <w:left w:val="single" w:sz="4" w:space="0" w:color="auto"/>
              <w:bottom w:val="nil"/>
              <w:right w:val="nil"/>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333300"/>
                <w:sz w:val="18"/>
                <w:szCs w:val="24"/>
                <w:lang w:eastAsia="es-CO"/>
              </w:rPr>
            </w:pPr>
            <w:r w:rsidRPr="0047548D">
              <w:rPr>
                <w:rFonts w:ascii="SansSerif" w:eastAsia="Times New Roman" w:hAnsi="SansSerif" w:cs="Arial"/>
                <w:b/>
                <w:bCs/>
                <w:color w:val="333300"/>
                <w:sz w:val="18"/>
                <w:szCs w:val="24"/>
                <w:lang w:eastAsia="es-CO"/>
              </w:rPr>
              <w:t> </w:t>
            </w:r>
          </w:p>
        </w:tc>
        <w:tc>
          <w:tcPr>
            <w:tcW w:w="0" w:type="auto"/>
            <w:tcBorders>
              <w:top w:val="nil"/>
              <w:left w:val="nil"/>
              <w:bottom w:val="nil"/>
              <w:right w:val="nil"/>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c>
          <w:tcPr>
            <w:tcW w:w="887" w:type="dxa"/>
            <w:tcBorders>
              <w:top w:val="nil"/>
              <w:left w:val="nil"/>
              <w:bottom w:val="nil"/>
              <w:right w:val="single" w:sz="4" w:space="0" w:color="auto"/>
            </w:tcBorders>
            <w:shd w:val="clear" w:color="000000" w:fill="FFFFFF"/>
            <w:hideMark/>
          </w:tcPr>
          <w:p w:rsidR="00F169C9" w:rsidRPr="0047548D" w:rsidRDefault="00F169C9" w:rsidP="00C76B04">
            <w:pPr>
              <w:spacing w:after="0" w:line="240" w:lineRule="auto"/>
              <w:rPr>
                <w:rFonts w:ascii="SansSerif" w:eastAsia="Times New Roman" w:hAnsi="SansSerif" w:cs="Arial"/>
                <w:color w:val="000000"/>
                <w:sz w:val="18"/>
                <w:szCs w:val="20"/>
                <w:lang w:eastAsia="es-CO"/>
              </w:rPr>
            </w:pPr>
            <w:r w:rsidRPr="0047548D">
              <w:rPr>
                <w:rFonts w:ascii="SansSerif" w:eastAsia="Times New Roman" w:hAnsi="SansSerif" w:cs="Arial"/>
                <w:color w:val="000000"/>
                <w:sz w:val="18"/>
                <w:szCs w:val="20"/>
                <w:lang w:eastAsia="es-CO"/>
              </w:rPr>
              <w:t> </w:t>
            </w:r>
          </w:p>
        </w:tc>
      </w:tr>
      <w:tr w:rsidR="00F169C9" w:rsidRPr="0047548D" w:rsidTr="00C76B04">
        <w:trPr>
          <w:trHeight w:val="840"/>
        </w:trPr>
        <w:tc>
          <w:tcPr>
            <w:tcW w:w="0" w:type="auto"/>
            <w:gridSpan w:val="5"/>
            <w:tcBorders>
              <w:top w:val="single" w:sz="8" w:space="0" w:color="000000"/>
              <w:left w:val="single" w:sz="4" w:space="0" w:color="auto"/>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8"/>
                <w:szCs w:val="20"/>
                <w:lang w:eastAsia="es-CO"/>
              </w:rPr>
            </w:pPr>
            <w:r w:rsidRPr="0047548D">
              <w:rPr>
                <w:rFonts w:ascii="SansSerif" w:eastAsia="Times New Roman" w:hAnsi="SansSerif" w:cs="Arial"/>
                <w:b/>
                <w:bCs/>
                <w:color w:val="000000"/>
                <w:sz w:val="18"/>
                <w:szCs w:val="20"/>
                <w:lang w:eastAsia="es-CO"/>
              </w:rPr>
              <w:t>DATOS TRÁMITES A RACIONALIZAR</w:t>
            </w:r>
          </w:p>
        </w:tc>
        <w:tc>
          <w:tcPr>
            <w:tcW w:w="0" w:type="auto"/>
            <w:gridSpan w:val="8"/>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8"/>
                <w:szCs w:val="20"/>
                <w:lang w:eastAsia="es-CO"/>
              </w:rPr>
            </w:pPr>
            <w:r w:rsidRPr="0047548D">
              <w:rPr>
                <w:rFonts w:ascii="SansSerif" w:eastAsia="Times New Roman" w:hAnsi="SansSerif" w:cs="Arial"/>
                <w:b/>
                <w:bCs/>
                <w:color w:val="000000"/>
                <w:sz w:val="18"/>
                <w:szCs w:val="20"/>
                <w:lang w:eastAsia="es-CO"/>
              </w:rPr>
              <w:t>ACCIONES DE RACIONALIZACIÓN A DESARROLLAR</w:t>
            </w:r>
          </w:p>
        </w:tc>
        <w:tc>
          <w:tcPr>
            <w:tcW w:w="2715" w:type="dxa"/>
            <w:gridSpan w:val="4"/>
            <w:tcBorders>
              <w:top w:val="single" w:sz="8" w:space="0" w:color="000000"/>
              <w:left w:val="nil"/>
              <w:bottom w:val="single" w:sz="8" w:space="0" w:color="000000"/>
              <w:right w:val="single" w:sz="4" w:space="0" w:color="auto"/>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8"/>
                <w:szCs w:val="20"/>
                <w:lang w:eastAsia="es-CO"/>
              </w:rPr>
            </w:pPr>
            <w:r w:rsidRPr="0047548D">
              <w:rPr>
                <w:rFonts w:ascii="SansSerif" w:eastAsia="Times New Roman" w:hAnsi="SansSerif" w:cs="Arial"/>
                <w:b/>
                <w:bCs/>
                <w:color w:val="000000"/>
                <w:sz w:val="18"/>
                <w:szCs w:val="20"/>
                <w:lang w:eastAsia="es-CO"/>
              </w:rPr>
              <w:t>PLAN DE EJECUCIÓN</w:t>
            </w:r>
          </w:p>
        </w:tc>
      </w:tr>
      <w:tr w:rsidR="00F169C9" w:rsidRPr="00724E2B" w:rsidTr="00C76B04">
        <w:trPr>
          <w:trHeight w:val="1161"/>
        </w:trPr>
        <w:tc>
          <w:tcPr>
            <w:tcW w:w="0" w:type="auto"/>
            <w:tcBorders>
              <w:top w:val="nil"/>
              <w:left w:val="single" w:sz="4" w:space="0" w:color="auto"/>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4"/>
                <w:szCs w:val="20"/>
                <w:lang w:eastAsia="es-CO"/>
              </w:rPr>
            </w:pPr>
            <w:r w:rsidRPr="0047548D">
              <w:rPr>
                <w:rFonts w:ascii="SansSerif" w:eastAsia="Times New Roman" w:hAnsi="SansSerif" w:cs="Arial"/>
                <w:b/>
                <w:bCs/>
                <w:color w:val="000000"/>
                <w:sz w:val="14"/>
                <w:szCs w:val="20"/>
                <w:lang w:eastAsia="es-CO"/>
              </w:rPr>
              <w:t>Tipo</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4"/>
                <w:szCs w:val="20"/>
                <w:lang w:eastAsia="es-CO"/>
              </w:rPr>
            </w:pPr>
            <w:r w:rsidRPr="0047548D">
              <w:rPr>
                <w:rFonts w:ascii="SansSerif" w:eastAsia="Times New Roman" w:hAnsi="SansSerif" w:cs="Arial"/>
                <w:b/>
                <w:bCs/>
                <w:color w:val="000000"/>
                <w:sz w:val="14"/>
                <w:szCs w:val="20"/>
                <w:lang w:eastAsia="es-CO"/>
              </w:rPr>
              <w:t>Número</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4"/>
                <w:szCs w:val="20"/>
                <w:lang w:eastAsia="es-CO"/>
              </w:rPr>
            </w:pPr>
            <w:r w:rsidRPr="0047548D">
              <w:rPr>
                <w:rFonts w:ascii="SansSerif" w:eastAsia="Times New Roman" w:hAnsi="SansSerif" w:cs="Arial"/>
                <w:b/>
                <w:bCs/>
                <w:color w:val="000000"/>
                <w:sz w:val="14"/>
                <w:szCs w:val="20"/>
                <w:lang w:eastAsia="es-CO"/>
              </w:rPr>
              <w:t>Nombre</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4"/>
                <w:szCs w:val="20"/>
                <w:lang w:eastAsia="es-CO"/>
              </w:rPr>
            </w:pPr>
            <w:r w:rsidRPr="0047548D">
              <w:rPr>
                <w:rFonts w:ascii="SansSerif" w:eastAsia="Times New Roman" w:hAnsi="SansSerif" w:cs="Arial"/>
                <w:b/>
                <w:bCs/>
                <w:color w:val="000000"/>
                <w:sz w:val="14"/>
                <w:szCs w:val="20"/>
                <w:lang w:eastAsia="es-CO"/>
              </w:rPr>
              <w:t>Estado</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4"/>
                <w:szCs w:val="20"/>
                <w:lang w:eastAsia="es-CO"/>
              </w:rPr>
            </w:pPr>
            <w:r w:rsidRPr="0047548D">
              <w:rPr>
                <w:rFonts w:ascii="SansSerif" w:eastAsia="Times New Roman" w:hAnsi="SansSerif" w:cs="Arial"/>
                <w:b/>
                <w:bCs/>
                <w:color w:val="000000"/>
                <w:sz w:val="14"/>
                <w:szCs w:val="20"/>
                <w:lang w:eastAsia="es-CO"/>
              </w:rPr>
              <w:t>Situación actual</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4"/>
                <w:szCs w:val="20"/>
                <w:lang w:eastAsia="es-CO"/>
              </w:rPr>
            </w:pPr>
            <w:r w:rsidRPr="0047548D">
              <w:rPr>
                <w:rFonts w:ascii="SansSerif" w:eastAsia="Times New Roman" w:hAnsi="SansSerif" w:cs="Arial"/>
                <w:b/>
                <w:bCs/>
                <w:color w:val="000000"/>
                <w:sz w:val="14"/>
                <w:szCs w:val="20"/>
                <w:lang w:eastAsia="es-CO"/>
              </w:rPr>
              <w:t>Mejora por implementar</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4"/>
                <w:szCs w:val="20"/>
                <w:lang w:eastAsia="es-CO"/>
              </w:rPr>
            </w:pPr>
            <w:r w:rsidRPr="0047548D">
              <w:rPr>
                <w:rFonts w:ascii="SansSerif" w:eastAsia="Times New Roman" w:hAnsi="SansSerif" w:cs="Arial"/>
                <w:b/>
                <w:bCs/>
                <w:color w:val="000000"/>
                <w:sz w:val="14"/>
                <w:szCs w:val="20"/>
                <w:lang w:eastAsia="es-CO"/>
              </w:rPr>
              <w:t>Beneficio al ciudadano o entidad</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4"/>
                <w:szCs w:val="20"/>
                <w:lang w:eastAsia="es-CO"/>
              </w:rPr>
            </w:pPr>
            <w:r w:rsidRPr="0047548D">
              <w:rPr>
                <w:rFonts w:ascii="SansSerif" w:eastAsia="Times New Roman" w:hAnsi="SansSerif" w:cs="Arial"/>
                <w:b/>
                <w:bCs/>
                <w:color w:val="000000"/>
                <w:sz w:val="14"/>
                <w:szCs w:val="20"/>
                <w:lang w:eastAsia="es-CO"/>
              </w:rPr>
              <w:t>Tipo racionalización</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4"/>
                <w:szCs w:val="20"/>
                <w:lang w:eastAsia="es-CO"/>
              </w:rPr>
            </w:pPr>
            <w:r w:rsidRPr="0047548D">
              <w:rPr>
                <w:rFonts w:ascii="SansSerif" w:eastAsia="Times New Roman" w:hAnsi="SansSerif" w:cs="Arial"/>
                <w:b/>
                <w:bCs/>
                <w:color w:val="000000"/>
                <w:sz w:val="14"/>
                <w:szCs w:val="20"/>
                <w:lang w:eastAsia="es-CO"/>
              </w:rPr>
              <w:t>Acciones racionalización</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4"/>
                <w:szCs w:val="20"/>
                <w:lang w:eastAsia="es-CO"/>
              </w:rPr>
            </w:pPr>
            <w:r w:rsidRPr="0047548D">
              <w:rPr>
                <w:rFonts w:ascii="SansSerif" w:eastAsia="Times New Roman" w:hAnsi="SansSerif" w:cs="Arial"/>
                <w:b/>
                <w:bCs/>
                <w:color w:val="000000"/>
                <w:sz w:val="14"/>
                <w:szCs w:val="20"/>
                <w:lang w:eastAsia="es-CO"/>
              </w:rPr>
              <w:t>Fecha</w:t>
            </w:r>
            <w:r w:rsidRPr="0047548D">
              <w:rPr>
                <w:rFonts w:ascii="SansSerif" w:eastAsia="Times New Roman" w:hAnsi="SansSerif" w:cs="Arial"/>
                <w:b/>
                <w:bCs/>
                <w:color w:val="000000"/>
                <w:sz w:val="14"/>
                <w:szCs w:val="20"/>
                <w:lang w:eastAsia="es-CO"/>
              </w:rPr>
              <w:br/>
              <w:t>inicio</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4"/>
                <w:szCs w:val="20"/>
                <w:lang w:eastAsia="es-CO"/>
              </w:rPr>
            </w:pPr>
            <w:r w:rsidRPr="0047548D">
              <w:rPr>
                <w:rFonts w:ascii="SansSerif" w:eastAsia="Times New Roman" w:hAnsi="SansSerif" w:cs="Arial"/>
                <w:b/>
                <w:bCs/>
                <w:color w:val="000000"/>
                <w:sz w:val="14"/>
                <w:szCs w:val="20"/>
                <w:lang w:eastAsia="es-CO"/>
              </w:rPr>
              <w:t>Fecha final racionalización</w:t>
            </w:r>
          </w:p>
        </w:tc>
        <w:tc>
          <w:tcPr>
            <w:tcW w:w="887" w:type="dxa"/>
            <w:tcBorders>
              <w:top w:val="nil"/>
              <w:left w:val="nil"/>
              <w:bottom w:val="single" w:sz="8" w:space="0" w:color="000000"/>
              <w:right w:val="single" w:sz="4" w:space="0" w:color="auto"/>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b/>
                <w:bCs/>
                <w:color w:val="000000"/>
                <w:sz w:val="14"/>
                <w:szCs w:val="20"/>
                <w:lang w:eastAsia="es-CO"/>
              </w:rPr>
            </w:pPr>
            <w:r w:rsidRPr="0047548D">
              <w:rPr>
                <w:rFonts w:ascii="SansSerif" w:eastAsia="Times New Roman" w:hAnsi="SansSerif" w:cs="Arial"/>
                <w:b/>
                <w:bCs/>
                <w:color w:val="000000"/>
                <w:sz w:val="14"/>
                <w:szCs w:val="20"/>
                <w:lang w:eastAsia="es-CO"/>
              </w:rPr>
              <w:t>Responsable</w:t>
            </w:r>
          </w:p>
        </w:tc>
      </w:tr>
      <w:tr w:rsidR="00F169C9" w:rsidRPr="00724E2B" w:rsidTr="00C76B04">
        <w:trPr>
          <w:trHeight w:val="1380"/>
        </w:trPr>
        <w:tc>
          <w:tcPr>
            <w:tcW w:w="0" w:type="auto"/>
            <w:tcBorders>
              <w:top w:val="nil"/>
              <w:left w:val="single" w:sz="4" w:space="0" w:color="auto"/>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Otros procedimientos administrativos de cara al usuario</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31410</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Constancia de atención de emergencia</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Inscrito</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En el SUIT  aparece que el medio por donde se obtiene el resultado: Correo certificado y presencial</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Envío de la Constancia vía correo electrónico a los ciudadanos</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Ahorra costos y tiempo de  desplazamiento a la ciudadanía.</w:t>
            </w:r>
            <w:r w:rsidRPr="0047548D">
              <w:rPr>
                <w:rFonts w:ascii="SansSerif" w:eastAsia="Times New Roman" w:hAnsi="SansSerif" w:cs="Arial"/>
                <w:color w:val="000000"/>
                <w:sz w:val="14"/>
                <w:szCs w:val="20"/>
                <w:lang w:eastAsia="es-CO"/>
              </w:rPr>
              <w:br/>
              <w:t>Agiliza el trámite.</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Tecnologica</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Respuesta y/o notificación electrónica</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15/05/2021</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30/07/2021</w:t>
            </w:r>
          </w:p>
        </w:tc>
        <w:tc>
          <w:tcPr>
            <w:tcW w:w="887" w:type="dxa"/>
            <w:tcBorders>
              <w:top w:val="nil"/>
              <w:left w:val="nil"/>
              <w:bottom w:val="single" w:sz="8" w:space="0" w:color="000000"/>
              <w:right w:val="single" w:sz="4" w:space="0" w:color="auto"/>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Subdirección de Gestión del Riesgo</w:t>
            </w:r>
          </w:p>
        </w:tc>
      </w:tr>
      <w:tr w:rsidR="00F169C9" w:rsidRPr="00724E2B" w:rsidTr="00C76B04">
        <w:trPr>
          <w:trHeight w:val="1161"/>
        </w:trPr>
        <w:tc>
          <w:tcPr>
            <w:tcW w:w="0" w:type="auto"/>
            <w:tcBorders>
              <w:top w:val="nil"/>
              <w:left w:val="single" w:sz="4" w:space="0" w:color="auto"/>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Otros procedimientos administrativos de cara al usuario</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31410</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Constancia de atención de emergencia</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Inscrito</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En el SUIT  aparece que el medio por donde se solicita es correo certificado y presencial</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Solicitud de la Constancia vía correo electrónico por los ciudadanos</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Ahorra costos y tiempo de  desplazamiento a la ciudadanía.</w:t>
            </w:r>
            <w:r w:rsidRPr="0047548D">
              <w:rPr>
                <w:rFonts w:ascii="SansSerif" w:eastAsia="Times New Roman" w:hAnsi="SansSerif" w:cs="Arial"/>
                <w:color w:val="000000"/>
                <w:sz w:val="14"/>
                <w:szCs w:val="20"/>
                <w:lang w:eastAsia="es-CO"/>
              </w:rPr>
              <w:br/>
              <w:t>Agiliza el trámite.</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Tecnologica</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Radicación, descarga y/o envío de documentos electrónicos</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15/05/2021</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30/07/2021</w:t>
            </w:r>
          </w:p>
        </w:tc>
        <w:tc>
          <w:tcPr>
            <w:tcW w:w="887" w:type="dxa"/>
            <w:tcBorders>
              <w:top w:val="nil"/>
              <w:left w:val="nil"/>
              <w:bottom w:val="single" w:sz="8" w:space="0" w:color="000000"/>
              <w:right w:val="single" w:sz="4" w:space="0" w:color="auto"/>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Subdirección de Gestión del Riesgo</w:t>
            </w:r>
          </w:p>
        </w:tc>
      </w:tr>
      <w:tr w:rsidR="00F169C9" w:rsidRPr="00724E2B" w:rsidTr="00C76B04">
        <w:trPr>
          <w:trHeight w:val="2079"/>
        </w:trPr>
        <w:tc>
          <w:tcPr>
            <w:tcW w:w="0" w:type="auto"/>
            <w:tcBorders>
              <w:top w:val="nil"/>
              <w:left w:val="single" w:sz="4" w:space="0" w:color="auto"/>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Otros procedimientos administrativos de cara al usuario</w:t>
            </w:r>
          </w:p>
        </w:tc>
        <w:tc>
          <w:tcPr>
            <w:tcW w:w="0" w:type="auto"/>
            <w:gridSpan w:val="2"/>
            <w:tcBorders>
              <w:top w:val="single" w:sz="8" w:space="0" w:color="000000"/>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31410</w:t>
            </w:r>
          </w:p>
        </w:tc>
        <w:tc>
          <w:tcPr>
            <w:tcW w:w="0" w:type="auto"/>
            <w:tcBorders>
              <w:top w:val="nil"/>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Constancia de atención de emergencia</w:t>
            </w:r>
          </w:p>
        </w:tc>
        <w:tc>
          <w:tcPr>
            <w:tcW w:w="0" w:type="auto"/>
            <w:tcBorders>
              <w:top w:val="nil"/>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Inscrito</w:t>
            </w:r>
          </w:p>
        </w:tc>
        <w:tc>
          <w:tcPr>
            <w:tcW w:w="0" w:type="auto"/>
            <w:tcBorders>
              <w:top w:val="nil"/>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 xml:space="preserve">El procedimiento corresponde a la versión anterior del mapa de procesos de la entidad y no se ha simplificado </w:t>
            </w:r>
          </w:p>
        </w:tc>
        <w:tc>
          <w:tcPr>
            <w:tcW w:w="0" w:type="auto"/>
            <w:tcBorders>
              <w:top w:val="nil"/>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Actualización del  Procedimiento expedición de constancias y/o informes de atención de servicios o incidentes de emergencia</w:t>
            </w:r>
          </w:p>
        </w:tc>
        <w:tc>
          <w:tcPr>
            <w:tcW w:w="0" w:type="auto"/>
            <w:gridSpan w:val="2"/>
            <w:tcBorders>
              <w:top w:val="single" w:sz="8" w:space="0" w:color="000000"/>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Optimización de tiempos y recursos</w:t>
            </w:r>
          </w:p>
        </w:tc>
        <w:tc>
          <w:tcPr>
            <w:tcW w:w="0" w:type="auto"/>
            <w:gridSpan w:val="2"/>
            <w:tcBorders>
              <w:top w:val="single" w:sz="8" w:space="0" w:color="000000"/>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Administrativa</w:t>
            </w:r>
          </w:p>
        </w:tc>
        <w:tc>
          <w:tcPr>
            <w:tcW w:w="0" w:type="auto"/>
            <w:gridSpan w:val="2"/>
            <w:tcBorders>
              <w:top w:val="single" w:sz="8" w:space="0" w:color="000000"/>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Mejora u optimización del proceso o procedimiento asociado al trámite</w:t>
            </w:r>
          </w:p>
        </w:tc>
        <w:tc>
          <w:tcPr>
            <w:tcW w:w="0" w:type="auto"/>
            <w:tcBorders>
              <w:top w:val="nil"/>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15/05/2021</w:t>
            </w:r>
          </w:p>
        </w:tc>
        <w:tc>
          <w:tcPr>
            <w:tcW w:w="0" w:type="auto"/>
            <w:gridSpan w:val="2"/>
            <w:tcBorders>
              <w:top w:val="single" w:sz="8" w:space="0" w:color="000000"/>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30/07/2021</w:t>
            </w:r>
          </w:p>
        </w:tc>
        <w:tc>
          <w:tcPr>
            <w:tcW w:w="887" w:type="dxa"/>
            <w:tcBorders>
              <w:top w:val="nil"/>
              <w:left w:val="nil"/>
              <w:bottom w:val="single" w:sz="4" w:space="0" w:color="auto"/>
              <w:right w:val="single" w:sz="4" w:space="0" w:color="auto"/>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Subdirección de Gestión del Riesgo</w:t>
            </w:r>
          </w:p>
        </w:tc>
      </w:tr>
      <w:tr w:rsidR="00F169C9" w:rsidRPr="00724E2B" w:rsidTr="00C76B04">
        <w:trPr>
          <w:trHeight w:val="921"/>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b/>
                <w:bCs/>
                <w:color w:val="000000"/>
                <w:sz w:val="14"/>
                <w:szCs w:val="20"/>
                <w:lang w:eastAsia="es-CO"/>
              </w:rPr>
              <w:lastRenderedPageBreak/>
              <w:t>Tipo</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b/>
                <w:bCs/>
                <w:color w:val="000000"/>
                <w:sz w:val="14"/>
                <w:szCs w:val="20"/>
                <w:lang w:eastAsia="es-CO"/>
              </w:rPr>
              <w:t>Número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b/>
                <w:bCs/>
                <w:color w:val="000000"/>
                <w:sz w:val="14"/>
                <w:szCs w:val="20"/>
                <w:lang w:eastAsia="es-CO"/>
              </w:rPr>
              <w:t>Nombre</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b/>
                <w:bCs/>
                <w:color w:val="000000"/>
                <w:sz w:val="14"/>
                <w:szCs w:val="20"/>
                <w:lang w:eastAsia="es-CO"/>
              </w:rPr>
              <w:t>Estado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b/>
                <w:bCs/>
                <w:color w:val="000000"/>
                <w:sz w:val="14"/>
                <w:szCs w:val="20"/>
                <w:lang w:eastAsia="es-CO"/>
              </w:rPr>
              <w:t>Situación actual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b/>
                <w:bCs/>
                <w:color w:val="000000"/>
                <w:sz w:val="14"/>
                <w:szCs w:val="20"/>
                <w:lang w:eastAsia="es-CO"/>
              </w:rPr>
              <w:t>Mejora por implementar</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b/>
                <w:bCs/>
                <w:color w:val="000000"/>
                <w:sz w:val="14"/>
                <w:szCs w:val="20"/>
                <w:lang w:eastAsia="es-CO"/>
              </w:rPr>
              <w:t>Beneficio al ciudadano o entidad</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b/>
                <w:bCs/>
                <w:color w:val="000000"/>
                <w:sz w:val="14"/>
                <w:szCs w:val="20"/>
                <w:lang w:eastAsia="es-CO"/>
              </w:rPr>
              <w:t>Tipo racionalización</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b/>
                <w:bCs/>
                <w:color w:val="000000"/>
                <w:sz w:val="14"/>
                <w:szCs w:val="20"/>
                <w:lang w:eastAsia="es-CO"/>
              </w:rPr>
              <w:t>Acciones racionalización</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b/>
                <w:bCs/>
                <w:color w:val="000000"/>
                <w:sz w:val="14"/>
                <w:szCs w:val="20"/>
                <w:lang w:eastAsia="es-CO"/>
              </w:rPr>
              <w:t>Fecha</w:t>
            </w:r>
            <w:r w:rsidRPr="0047548D">
              <w:rPr>
                <w:rFonts w:ascii="SansSerif" w:eastAsia="Times New Roman" w:hAnsi="SansSerif" w:cs="Arial"/>
                <w:b/>
                <w:bCs/>
                <w:color w:val="000000"/>
                <w:sz w:val="14"/>
                <w:szCs w:val="20"/>
                <w:lang w:eastAsia="es-CO"/>
              </w:rPr>
              <w:br/>
              <w:t>inicio</w:t>
            </w:r>
          </w:p>
        </w:tc>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b/>
                <w:bCs/>
                <w:color w:val="000000"/>
                <w:sz w:val="14"/>
                <w:szCs w:val="20"/>
                <w:lang w:eastAsia="es-CO"/>
              </w:rPr>
              <w:t>Fecha final racionalización</w:t>
            </w:r>
          </w:p>
        </w:tc>
        <w:tc>
          <w:tcPr>
            <w:tcW w:w="887" w:type="dxa"/>
            <w:tcBorders>
              <w:top w:val="single" w:sz="4" w:space="0" w:color="auto"/>
              <w:left w:val="single" w:sz="4" w:space="0" w:color="auto"/>
              <w:bottom w:val="single" w:sz="4" w:space="0" w:color="auto"/>
              <w:right w:val="single" w:sz="4" w:space="0" w:color="auto"/>
            </w:tcBorders>
            <w:shd w:val="clear" w:color="000000" w:fill="FFFFFF"/>
            <w:vAlign w:val="center"/>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b/>
                <w:bCs/>
                <w:color w:val="000000"/>
                <w:sz w:val="14"/>
                <w:szCs w:val="20"/>
                <w:lang w:eastAsia="es-CO"/>
              </w:rPr>
              <w:t>Responsable</w:t>
            </w:r>
          </w:p>
        </w:tc>
      </w:tr>
      <w:tr w:rsidR="00F169C9" w:rsidRPr="00724E2B" w:rsidTr="00C76B04">
        <w:trPr>
          <w:trHeight w:val="921"/>
        </w:trPr>
        <w:tc>
          <w:tcPr>
            <w:tcW w:w="0" w:type="auto"/>
            <w:tcBorders>
              <w:top w:val="single" w:sz="4" w:space="0" w:color="auto"/>
              <w:left w:val="single" w:sz="4" w:space="0" w:color="auto"/>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Otros procedimientos administrativos de cara al usuario</w:t>
            </w:r>
          </w:p>
        </w:tc>
        <w:tc>
          <w:tcPr>
            <w:tcW w:w="0" w:type="auto"/>
            <w:gridSpan w:val="2"/>
            <w:tcBorders>
              <w:top w:val="single" w:sz="4" w:space="0" w:color="auto"/>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31410</w:t>
            </w:r>
          </w:p>
        </w:tc>
        <w:tc>
          <w:tcPr>
            <w:tcW w:w="0" w:type="auto"/>
            <w:tcBorders>
              <w:top w:val="single" w:sz="4" w:space="0" w:color="auto"/>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Constancia de atención de emergencia</w:t>
            </w:r>
          </w:p>
        </w:tc>
        <w:tc>
          <w:tcPr>
            <w:tcW w:w="0" w:type="auto"/>
            <w:tcBorders>
              <w:top w:val="single" w:sz="4" w:space="0" w:color="auto"/>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Inscrito</w:t>
            </w:r>
          </w:p>
        </w:tc>
        <w:tc>
          <w:tcPr>
            <w:tcW w:w="0" w:type="auto"/>
            <w:tcBorders>
              <w:top w:val="single" w:sz="4" w:space="0" w:color="auto"/>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En el SUIT no aparece horario de atención</w:t>
            </w:r>
          </w:p>
        </w:tc>
        <w:tc>
          <w:tcPr>
            <w:tcW w:w="0" w:type="auto"/>
            <w:tcBorders>
              <w:top w:val="single" w:sz="4" w:space="0" w:color="auto"/>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Registrar horario de atención de correspondencia 7 a.m. – 4 p.m</w:t>
            </w:r>
          </w:p>
        </w:tc>
        <w:tc>
          <w:tcPr>
            <w:tcW w:w="0" w:type="auto"/>
            <w:gridSpan w:val="2"/>
            <w:tcBorders>
              <w:top w:val="single" w:sz="4" w:space="0" w:color="auto"/>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Disponer de un horario de atención en la sede Comando para la radicación de solicitudes</w:t>
            </w:r>
          </w:p>
        </w:tc>
        <w:tc>
          <w:tcPr>
            <w:tcW w:w="0" w:type="auto"/>
            <w:gridSpan w:val="2"/>
            <w:tcBorders>
              <w:top w:val="single" w:sz="4" w:space="0" w:color="auto"/>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Administrativa</w:t>
            </w:r>
          </w:p>
        </w:tc>
        <w:tc>
          <w:tcPr>
            <w:tcW w:w="0" w:type="auto"/>
            <w:gridSpan w:val="2"/>
            <w:tcBorders>
              <w:top w:val="single" w:sz="4" w:space="0" w:color="auto"/>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Extensión en horarios de atención</w:t>
            </w:r>
          </w:p>
        </w:tc>
        <w:tc>
          <w:tcPr>
            <w:tcW w:w="0" w:type="auto"/>
            <w:tcBorders>
              <w:top w:val="single" w:sz="4" w:space="0" w:color="auto"/>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15/06/2021</w:t>
            </w:r>
          </w:p>
        </w:tc>
        <w:tc>
          <w:tcPr>
            <w:tcW w:w="0" w:type="auto"/>
            <w:gridSpan w:val="2"/>
            <w:tcBorders>
              <w:top w:val="single" w:sz="4" w:space="0" w:color="auto"/>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30/11/2021</w:t>
            </w:r>
          </w:p>
        </w:tc>
        <w:tc>
          <w:tcPr>
            <w:tcW w:w="887" w:type="dxa"/>
            <w:tcBorders>
              <w:top w:val="single" w:sz="4" w:space="0" w:color="auto"/>
              <w:left w:val="nil"/>
              <w:bottom w:val="single" w:sz="8" w:space="0" w:color="000000"/>
              <w:right w:val="single" w:sz="4" w:space="0" w:color="auto"/>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Subdirección de Gestión del Riesgo</w:t>
            </w:r>
          </w:p>
        </w:tc>
      </w:tr>
      <w:tr w:rsidR="00F169C9" w:rsidRPr="00724E2B" w:rsidTr="00C76B04">
        <w:trPr>
          <w:trHeight w:val="921"/>
        </w:trPr>
        <w:tc>
          <w:tcPr>
            <w:tcW w:w="0" w:type="auto"/>
            <w:tcBorders>
              <w:top w:val="nil"/>
              <w:left w:val="single" w:sz="4" w:space="0" w:color="auto"/>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Otros procedimientos administrativos de cara al usuario</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31410</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Constancia de atención de emergencia</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Inscrito</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 xml:space="preserve">En el SUIT aparece que el tiempo de obtención es de 15 días. </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Disminución del tiempo de respuesta de 15 días a 1 día.</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Disminuir del tiempo de obtención del certificado</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Administrativa</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Reducción del tiempo de respuesta o duración del trámite</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15/06/2021</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30/11/2021</w:t>
            </w:r>
          </w:p>
        </w:tc>
        <w:tc>
          <w:tcPr>
            <w:tcW w:w="887" w:type="dxa"/>
            <w:tcBorders>
              <w:top w:val="nil"/>
              <w:left w:val="nil"/>
              <w:bottom w:val="single" w:sz="8" w:space="0" w:color="000000"/>
              <w:right w:val="single" w:sz="4" w:space="0" w:color="auto"/>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Subdirección de Gestión del Riesgo</w:t>
            </w:r>
          </w:p>
        </w:tc>
      </w:tr>
      <w:tr w:rsidR="00F169C9" w:rsidRPr="00724E2B" w:rsidTr="00C76B04">
        <w:trPr>
          <w:trHeight w:val="1620"/>
        </w:trPr>
        <w:tc>
          <w:tcPr>
            <w:tcW w:w="0" w:type="auto"/>
            <w:tcBorders>
              <w:top w:val="nil"/>
              <w:left w:val="single" w:sz="4" w:space="0" w:color="auto"/>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Otros procedimientos administrativos de cara al usuario</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31820</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Club bomberitos prevención para niños</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Inscrito</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 xml:space="preserve">En el SUIT aparece que se pueda realizar parcialmente por medios electrónicos. </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El ciudadano puede acceder a la inscripción al curso bomberitos a través de un formulario electrónico en la página web</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Mayor cobertura y facilidad en la inscripción al curso. Reducción de costos y tiempos al ciudadano</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Tecnologica</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Formularios diligenciados en línea</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03/01/2021</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30/11/2021</w:t>
            </w:r>
          </w:p>
        </w:tc>
        <w:tc>
          <w:tcPr>
            <w:tcW w:w="887" w:type="dxa"/>
            <w:tcBorders>
              <w:top w:val="nil"/>
              <w:left w:val="nil"/>
              <w:bottom w:val="single" w:sz="8" w:space="0" w:color="000000"/>
              <w:right w:val="single" w:sz="4" w:space="0" w:color="auto"/>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Subdirección de Gestión del Riesgo</w:t>
            </w:r>
          </w:p>
        </w:tc>
      </w:tr>
      <w:tr w:rsidR="00F169C9" w:rsidRPr="00724E2B" w:rsidTr="00C76B04">
        <w:trPr>
          <w:trHeight w:val="1380"/>
        </w:trPr>
        <w:tc>
          <w:tcPr>
            <w:tcW w:w="0" w:type="auto"/>
            <w:tcBorders>
              <w:top w:val="nil"/>
              <w:left w:val="single" w:sz="4" w:space="0" w:color="auto"/>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Otros procedimientos administrativos de cara al usuario</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31820</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Club bomberitos prevención para niños</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Inscrito</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En el SUIT  aparece que el medio por donde se obtiene el resultado: Correo certificado y presencial</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Envío de la Constancia vía correo electrónico a los ciudadanos</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Ahorra costos y tiempo de  desplazamiento a la ciudadanía.</w:t>
            </w:r>
            <w:r w:rsidRPr="0047548D">
              <w:rPr>
                <w:rFonts w:ascii="SansSerif" w:eastAsia="Times New Roman" w:hAnsi="SansSerif" w:cs="Arial"/>
                <w:color w:val="000000"/>
                <w:sz w:val="14"/>
                <w:szCs w:val="20"/>
                <w:lang w:eastAsia="es-CO"/>
              </w:rPr>
              <w:br/>
              <w:t>Agiliza el trámite.</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Tecnologica</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Respuesta y/o notificación electrónica</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15/05/2021</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30/11/2021</w:t>
            </w:r>
          </w:p>
        </w:tc>
        <w:tc>
          <w:tcPr>
            <w:tcW w:w="887" w:type="dxa"/>
            <w:tcBorders>
              <w:top w:val="nil"/>
              <w:left w:val="nil"/>
              <w:bottom w:val="single" w:sz="8" w:space="0" w:color="000000"/>
              <w:right w:val="single" w:sz="4" w:space="0" w:color="auto"/>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Subdirección de Gestión del Riesgo</w:t>
            </w:r>
          </w:p>
        </w:tc>
      </w:tr>
      <w:tr w:rsidR="00F169C9" w:rsidRPr="00724E2B" w:rsidTr="00C76B04">
        <w:trPr>
          <w:trHeight w:val="1380"/>
        </w:trPr>
        <w:tc>
          <w:tcPr>
            <w:tcW w:w="0" w:type="auto"/>
            <w:tcBorders>
              <w:top w:val="nil"/>
              <w:left w:val="single" w:sz="4" w:space="0" w:color="auto"/>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Otros procedimientos administrativos de cara al usuario</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31820</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Club bomberitos prevención para niños</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Inscrito</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 xml:space="preserve">El procedimiento corresponde a la versión anterior del mapa de procesos de la entidad y no se ha simplificado </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Actualización del procedimiento</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Optimización de tiempos y recursos</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Administrativa</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Mejora u optimización del proceso o procedimiento asociado al trámite</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15/05/2021</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30/07/2021</w:t>
            </w:r>
          </w:p>
        </w:tc>
        <w:tc>
          <w:tcPr>
            <w:tcW w:w="887" w:type="dxa"/>
            <w:tcBorders>
              <w:top w:val="nil"/>
              <w:left w:val="nil"/>
              <w:bottom w:val="single" w:sz="8" w:space="0" w:color="000000"/>
              <w:right w:val="single" w:sz="4" w:space="0" w:color="auto"/>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Subdirección de Gestión del Riesgo</w:t>
            </w:r>
          </w:p>
        </w:tc>
      </w:tr>
      <w:tr w:rsidR="00F169C9" w:rsidRPr="00724E2B" w:rsidTr="00C76B04">
        <w:trPr>
          <w:trHeight w:val="921"/>
        </w:trPr>
        <w:tc>
          <w:tcPr>
            <w:tcW w:w="0" w:type="auto"/>
            <w:tcBorders>
              <w:top w:val="nil"/>
              <w:left w:val="single" w:sz="4" w:space="0" w:color="auto"/>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Otros procedimientos administrativos de cara al usuario</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31820</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Club bomberitos prevención para niños</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Inscrito</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 xml:space="preserve">En el SUIT aparece que el tiempo de obtención es de 15 días. </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Disminución del tiempo de respuesta de 15 días a 1 día.</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Disminuir del tiempo de obtención del certificado</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Administrativa</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Reducción del tiempo de respuesta o duración del trámite</w:t>
            </w:r>
          </w:p>
        </w:tc>
        <w:tc>
          <w:tcPr>
            <w:tcW w:w="0" w:type="auto"/>
            <w:tcBorders>
              <w:top w:val="nil"/>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15/06/2021</w:t>
            </w:r>
          </w:p>
        </w:tc>
        <w:tc>
          <w:tcPr>
            <w:tcW w:w="0" w:type="auto"/>
            <w:gridSpan w:val="2"/>
            <w:tcBorders>
              <w:top w:val="single" w:sz="8" w:space="0" w:color="000000"/>
              <w:left w:val="nil"/>
              <w:bottom w:val="single" w:sz="8" w:space="0" w:color="000000"/>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30/11/2021</w:t>
            </w:r>
          </w:p>
        </w:tc>
        <w:tc>
          <w:tcPr>
            <w:tcW w:w="887" w:type="dxa"/>
            <w:tcBorders>
              <w:top w:val="nil"/>
              <w:left w:val="nil"/>
              <w:bottom w:val="single" w:sz="8" w:space="0" w:color="000000"/>
              <w:right w:val="single" w:sz="4" w:space="0" w:color="auto"/>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Subdirección de Gestión del Riesgo</w:t>
            </w:r>
          </w:p>
        </w:tc>
      </w:tr>
      <w:tr w:rsidR="00F169C9" w:rsidRPr="00724E2B" w:rsidTr="00C76B04">
        <w:trPr>
          <w:trHeight w:val="2079"/>
        </w:trPr>
        <w:tc>
          <w:tcPr>
            <w:tcW w:w="0" w:type="auto"/>
            <w:tcBorders>
              <w:top w:val="nil"/>
              <w:left w:val="single" w:sz="4" w:space="0" w:color="auto"/>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Otros procedimientos administrativos de cara al usuario</w:t>
            </w:r>
          </w:p>
        </w:tc>
        <w:tc>
          <w:tcPr>
            <w:tcW w:w="0" w:type="auto"/>
            <w:gridSpan w:val="2"/>
            <w:tcBorders>
              <w:top w:val="single" w:sz="8" w:space="0" w:color="000000"/>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33799</w:t>
            </w:r>
          </w:p>
        </w:tc>
        <w:tc>
          <w:tcPr>
            <w:tcW w:w="0" w:type="auto"/>
            <w:tcBorders>
              <w:top w:val="nil"/>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Simulaciones</w:t>
            </w:r>
          </w:p>
        </w:tc>
        <w:tc>
          <w:tcPr>
            <w:tcW w:w="0" w:type="auto"/>
            <w:tcBorders>
              <w:top w:val="nil"/>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Inscrito</w:t>
            </w:r>
          </w:p>
        </w:tc>
        <w:tc>
          <w:tcPr>
            <w:tcW w:w="0" w:type="auto"/>
            <w:tcBorders>
              <w:top w:val="nil"/>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En la actualidad es un OPA inscrito en el SUIT. Durante los últimos dos años, no se han presentado solicitudes de la ciudadanía para este servicio.</w:t>
            </w:r>
          </w:p>
        </w:tc>
        <w:tc>
          <w:tcPr>
            <w:tcW w:w="0" w:type="auto"/>
            <w:tcBorders>
              <w:top w:val="nil"/>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Eliminación del OPA en el SUIT</w:t>
            </w:r>
          </w:p>
        </w:tc>
        <w:tc>
          <w:tcPr>
            <w:tcW w:w="0" w:type="auto"/>
            <w:gridSpan w:val="2"/>
            <w:tcBorders>
              <w:top w:val="single" w:sz="8" w:space="0" w:color="000000"/>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Simplificación de procedimientos y optimización de recursos al interior de la Entidad</w:t>
            </w:r>
          </w:p>
        </w:tc>
        <w:tc>
          <w:tcPr>
            <w:tcW w:w="0" w:type="auto"/>
            <w:gridSpan w:val="2"/>
            <w:tcBorders>
              <w:top w:val="single" w:sz="8" w:space="0" w:color="000000"/>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Administrativa</w:t>
            </w:r>
          </w:p>
        </w:tc>
        <w:tc>
          <w:tcPr>
            <w:tcW w:w="0" w:type="auto"/>
            <w:gridSpan w:val="2"/>
            <w:tcBorders>
              <w:top w:val="single" w:sz="8" w:space="0" w:color="000000"/>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Eliminación del trámite</w:t>
            </w:r>
          </w:p>
        </w:tc>
        <w:tc>
          <w:tcPr>
            <w:tcW w:w="0" w:type="auto"/>
            <w:tcBorders>
              <w:top w:val="nil"/>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01/07/2021</w:t>
            </w:r>
          </w:p>
        </w:tc>
        <w:tc>
          <w:tcPr>
            <w:tcW w:w="0" w:type="auto"/>
            <w:gridSpan w:val="2"/>
            <w:tcBorders>
              <w:top w:val="single" w:sz="8" w:space="0" w:color="000000"/>
              <w:left w:val="nil"/>
              <w:bottom w:val="single" w:sz="4" w:space="0" w:color="auto"/>
              <w:right w:val="single" w:sz="8" w:space="0" w:color="000000"/>
            </w:tcBorders>
            <w:shd w:val="clear" w:color="000000" w:fill="FFFFFF"/>
            <w:vAlign w:val="center"/>
            <w:hideMark/>
          </w:tcPr>
          <w:p w:rsidR="00F169C9" w:rsidRPr="0047548D" w:rsidRDefault="00F169C9" w:rsidP="00C76B04">
            <w:pPr>
              <w:spacing w:after="0" w:line="240" w:lineRule="auto"/>
              <w:jc w:val="center"/>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30/11/2021</w:t>
            </w:r>
          </w:p>
        </w:tc>
        <w:tc>
          <w:tcPr>
            <w:tcW w:w="887" w:type="dxa"/>
            <w:tcBorders>
              <w:top w:val="nil"/>
              <w:left w:val="nil"/>
              <w:bottom w:val="single" w:sz="4" w:space="0" w:color="auto"/>
              <w:right w:val="single" w:sz="4" w:space="0" w:color="auto"/>
            </w:tcBorders>
            <w:shd w:val="clear" w:color="000000" w:fill="FFFFFF"/>
            <w:vAlign w:val="center"/>
            <w:hideMark/>
          </w:tcPr>
          <w:p w:rsidR="00F169C9" w:rsidRPr="0047548D" w:rsidRDefault="00F169C9" w:rsidP="00C76B04">
            <w:pPr>
              <w:spacing w:after="0" w:line="240" w:lineRule="auto"/>
              <w:rPr>
                <w:rFonts w:ascii="SansSerif" w:eastAsia="Times New Roman" w:hAnsi="SansSerif" w:cs="Arial"/>
                <w:color w:val="000000"/>
                <w:sz w:val="14"/>
                <w:szCs w:val="20"/>
                <w:lang w:eastAsia="es-CO"/>
              </w:rPr>
            </w:pPr>
            <w:r w:rsidRPr="0047548D">
              <w:rPr>
                <w:rFonts w:ascii="SansSerif" w:eastAsia="Times New Roman" w:hAnsi="SansSerif" w:cs="Arial"/>
                <w:color w:val="000000"/>
                <w:sz w:val="14"/>
                <w:szCs w:val="20"/>
                <w:lang w:eastAsia="es-CO"/>
              </w:rPr>
              <w:t>Subdirección de Gestión del Riesgo</w:t>
            </w:r>
          </w:p>
        </w:tc>
      </w:tr>
    </w:tbl>
    <w:p w:rsidR="003D285E" w:rsidRDefault="003D285E" w:rsidP="003D285E"/>
    <w:sectPr w:rsidR="003D285E" w:rsidSect="0097695C">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F1B" w:rsidRDefault="00790F1B" w:rsidP="003D285E">
      <w:pPr>
        <w:spacing w:after="0" w:line="240" w:lineRule="auto"/>
      </w:pPr>
      <w:r>
        <w:separator/>
      </w:r>
    </w:p>
  </w:endnote>
  <w:endnote w:type="continuationSeparator" w:id="0">
    <w:p w:rsidR="00790F1B" w:rsidRDefault="00790F1B" w:rsidP="003D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F1B" w:rsidRDefault="00790F1B" w:rsidP="003D285E">
      <w:pPr>
        <w:spacing w:after="0" w:line="240" w:lineRule="auto"/>
      </w:pPr>
      <w:r>
        <w:separator/>
      </w:r>
    </w:p>
  </w:footnote>
  <w:footnote w:type="continuationSeparator" w:id="0">
    <w:p w:rsidR="00790F1B" w:rsidRDefault="00790F1B" w:rsidP="003D2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8EC8F6A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BF94852"/>
    <w:multiLevelType w:val="hybridMultilevel"/>
    <w:tmpl w:val="4D644E5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1D45F86"/>
    <w:multiLevelType w:val="multilevel"/>
    <w:tmpl w:val="DC2E71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59C94F61"/>
    <w:multiLevelType w:val="multilevel"/>
    <w:tmpl w:val="FC7E37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6BD87D0F"/>
    <w:multiLevelType w:val="hybridMultilevel"/>
    <w:tmpl w:val="082CB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C0DB5"/>
    <w:multiLevelType w:val="hybridMultilevel"/>
    <w:tmpl w:val="EFE0EC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4"/>
  </w:num>
  <w:num w:numId="22">
    <w:abstractNumId w:val="0"/>
  </w:num>
  <w:num w:numId="23">
    <w:abstractNumId w:val="1"/>
  </w:num>
  <w:num w:numId="24">
    <w:abstractNumId w:val="0"/>
  </w:num>
  <w:num w:numId="25">
    <w:abstractNumId w:val="0"/>
  </w:num>
  <w:num w:numId="26">
    <w:abstractNumId w:val="0"/>
  </w:num>
  <w:num w:numId="27">
    <w:abstractNumId w:val="5"/>
  </w:num>
  <w:num w:numId="28">
    <w:abstractNumId w:val="0"/>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5C"/>
    <w:rsid w:val="00004A72"/>
    <w:rsid w:val="00107D6F"/>
    <w:rsid w:val="003137F8"/>
    <w:rsid w:val="0032100F"/>
    <w:rsid w:val="0036607B"/>
    <w:rsid w:val="003D285E"/>
    <w:rsid w:val="00496B1B"/>
    <w:rsid w:val="004E1394"/>
    <w:rsid w:val="006414C6"/>
    <w:rsid w:val="006F3C53"/>
    <w:rsid w:val="00735FE9"/>
    <w:rsid w:val="00767585"/>
    <w:rsid w:val="00790F1B"/>
    <w:rsid w:val="00877389"/>
    <w:rsid w:val="00961FE1"/>
    <w:rsid w:val="0097695C"/>
    <w:rsid w:val="00A17E0A"/>
    <w:rsid w:val="00A70CBE"/>
    <w:rsid w:val="00B5767D"/>
    <w:rsid w:val="00C4755D"/>
    <w:rsid w:val="00D33B19"/>
    <w:rsid w:val="00D6260B"/>
    <w:rsid w:val="00DB4E96"/>
    <w:rsid w:val="00DF0367"/>
    <w:rsid w:val="00E11D2F"/>
    <w:rsid w:val="00EF0A01"/>
    <w:rsid w:val="00F02DDF"/>
    <w:rsid w:val="00F169C9"/>
    <w:rsid w:val="00F30A3C"/>
    <w:rsid w:val="00F459F0"/>
    <w:rsid w:val="00FA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598B"/>
  <w15:chartTrackingRefBased/>
  <w15:docId w15:val="{7F609745-5D6B-4DC0-A39B-768623A6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5C"/>
    <w:rPr>
      <w:lang w:val="es-CO"/>
    </w:rPr>
  </w:style>
  <w:style w:type="paragraph" w:styleId="Ttulo1">
    <w:name w:val="heading 1"/>
    <w:basedOn w:val="Normal"/>
    <w:next w:val="Normal"/>
    <w:link w:val="Ttulo1Car"/>
    <w:uiPriority w:val="9"/>
    <w:qFormat/>
    <w:rsid w:val="0097695C"/>
    <w:pPr>
      <w:keepNext/>
      <w:keepLines/>
      <w:numPr>
        <w:numId w:val="2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unhideWhenUsed/>
    <w:qFormat/>
    <w:rsid w:val="0097695C"/>
    <w:pPr>
      <w:keepNext/>
      <w:keepLines/>
      <w:numPr>
        <w:ilvl w:val="1"/>
        <w:numId w:val="2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97695C"/>
    <w:pPr>
      <w:keepNext/>
      <w:keepLines/>
      <w:numPr>
        <w:ilvl w:val="2"/>
        <w:numId w:val="20"/>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97695C"/>
    <w:pPr>
      <w:keepNext/>
      <w:keepLines/>
      <w:numPr>
        <w:ilvl w:val="3"/>
        <w:numId w:val="20"/>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97695C"/>
    <w:pPr>
      <w:keepNext/>
      <w:keepLines/>
      <w:numPr>
        <w:ilvl w:val="4"/>
        <w:numId w:val="20"/>
      </w:numPr>
      <w:spacing w:before="200" w:after="0"/>
      <w:outlineLvl w:val="4"/>
    </w:pPr>
    <w:rPr>
      <w:rFonts w:asciiTheme="majorHAnsi" w:eastAsiaTheme="majorEastAsia" w:hAnsiTheme="majorHAnsi" w:cstheme="majorBidi"/>
      <w:color w:val="58523E" w:themeColor="text2" w:themeShade="BF"/>
    </w:rPr>
  </w:style>
  <w:style w:type="paragraph" w:styleId="Ttulo6">
    <w:name w:val="heading 6"/>
    <w:basedOn w:val="Normal"/>
    <w:next w:val="Normal"/>
    <w:link w:val="Ttulo6Car"/>
    <w:uiPriority w:val="9"/>
    <w:semiHidden/>
    <w:unhideWhenUsed/>
    <w:qFormat/>
    <w:rsid w:val="0097695C"/>
    <w:pPr>
      <w:keepNext/>
      <w:keepLines/>
      <w:numPr>
        <w:ilvl w:val="5"/>
        <w:numId w:val="20"/>
      </w:numPr>
      <w:spacing w:before="200" w:after="0"/>
      <w:outlineLvl w:val="5"/>
    </w:pPr>
    <w:rPr>
      <w:rFonts w:asciiTheme="majorHAnsi" w:eastAsiaTheme="majorEastAsia" w:hAnsiTheme="majorHAnsi" w:cstheme="majorBidi"/>
      <w:i/>
      <w:iCs/>
      <w:color w:val="58523E" w:themeColor="text2" w:themeShade="BF"/>
    </w:rPr>
  </w:style>
  <w:style w:type="paragraph" w:styleId="Ttulo7">
    <w:name w:val="heading 7"/>
    <w:basedOn w:val="Normal"/>
    <w:next w:val="Normal"/>
    <w:link w:val="Ttulo7Car"/>
    <w:uiPriority w:val="9"/>
    <w:semiHidden/>
    <w:unhideWhenUsed/>
    <w:qFormat/>
    <w:rsid w:val="0097695C"/>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97695C"/>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7695C"/>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7695C"/>
    <w:pPr>
      <w:spacing w:after="0" w:line="240" w:lineRule="auto"/>
    </w:pPr>
  </w:style>
  <w:style w:type="character" w:customStyle="1" w:styleId="SinespaciadoCar">
    <w:name w:val="Sin espaciado Car"/>
    <w:basedOn w:val="Fuentedeprrafopredeter"/>
    <w:link w:val="Sinespaciado"/>
    <w:uiPriority w:val="1"/>
    <w:rsid w:val="0097695C"/>
  </w:style>
  <w:style w:type="character" w:customStyle="1" w:styleId="Ttulo1Car">
    <w:name w:val="Título 1 Car"/>
    <w:basedOn w:val="Fuentedeprrafopredeter"/>
    <w:link w:val="Ttulo1"/>
    <w:uiPriority w:val="9"/>
    <w:rsid w:val="0097695C"/>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rsid w:val="0097695C"/>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97695C"/>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97695C"/>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97695C"/>
    <w:rPr>
      <w:rFonts w:asciiTheme="majorHAnsi" w:eastAsiaTheme="majorEastAsia" w:hAnsiTheme="majorHAnsi" w:cstheme="majorBidi"/>
      <w:color w:val="58523E" w:themeColor="text2" w:themeShade="BF"/>
    </w:rPr>
  </w:style>
  <w:style w:type="character" w:customStyle="1" w:styleId="Ttulo6Car">
    <w:name w:val="Título 6 Car"/>
    <w:basedOn w:val="Fuentedeprrafopredeter"/>
    <w:link w:val="Ttulo6"/>
    <w:uiPriority w:val="9"/>
    <w:semiHidden/>
    <w:rsid w:val="0097695C"/>
    <w:rPr>
      <w:rFonts w:asciiTheme="majorHAnsi" w:eastAsiaTheme="majorEastAsia" w:hAnsiTheme="majorHAnsi" w:cstheme="majorBidi"/>
      <w:i/>
      <w:iCs/>
      <w:color w:val="58523E" w:themeColor="text2" w:themeShade="BF"/>
    </w:rPr>
  </w:style>
  <w:style w:type="character" w:customStyle="1" w:styleId="Ttulo7Car">
    <w:name w:val="Título 7 Car"/>
    <w:basedOn w:val="Fuentedeprrafopredeter"/>
    <w:link w:val="Ttulo7"/>
    <w:uiPriority w:val="9"/>
    <w:semiHidden/>
    <w:rsid w:val="0097695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97695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97695C"/>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97695C"/>
    <w:pPr>
      <w:spacing w:after="200" w:line="240" w:lineRule="auto"/>
    </w:pPr>
    <w:rPr>
      <w:i/>
      <w:iCs/>
      <w:color w:val="766F54" w:themeColor="text2"/>
      <w:sz w:val="18"/>
      <w:szCs w:val="18"/>
    </w:rPr>
  </w:style>
  <w:style w:type="paragraph" w:styleId="Ttulo">
    <w:name w:val="Title"/>
    <w:basedOn w:val="Normal"/>
    <w:next w:val="Normal"/>
    <w:link w:val="TtuloCar"/>
    <w:uiPriority w:val="10"/>
    <w:qFormat/>
    <w:rsid w:val="0097695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97695C"/>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97695C"/>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97695C"/>
    <w:rPr>
      <w:color w:val="5A5A5A" w:themeColor="text1" w:themeTint="A5"/>
      <w:spacing w:val="10"/>
    </w:rPr>
  </w:style>
  <w:style w:type="character" w:styleId="Textoennegrita">
    <w:name w:val="Strong"/>
    <w:basedOn w:val="Fuentedeprrafopredeter"/>
    <w:uiPriority w:val="22"/>
    <w:qFormat/>
    <w:rsid w:val="0097695C"/>
    <w:rPr>
      <w:b/>
      <w:bCs/>
      <w:color w:val="000000" w:themeColor="text1"/>
    </w:rPr>
  </w:style>
  <w:style w:type="character" w:styleId="nfasis">
    <w:name w:val="Emphasis"/>
    <w:basedOn w:val="Fuentedeprrafopredeter"/>
    <w:uiPriority w:val="20"/>
    <w:qFormat/>
    <w:rsid w:val="0097695C"/>
    <w:rPr>
      <w:i/>
      <w:iCs/>
      <w:color w:val="auto"/>
    </w:rPr>
  </w:style>
  <w:style w:type="paragraph" w:styleId="Cita">
    <w:name w:val="Quote"/>
    <w:basedOn w:val="Normal"/>
    <w:next w:val="Normal"/>
    <w:link w:val="CitaCar"/>
    <w:uiPriority w:val="29"/>
    <w:qFormat/>
    <w:rsid w:val="0097695C"/>
    <w:pPr>
      <w:spacing w:before="160"/>
      <w:ind w:left="720" w:right="720"/>
    </w:pPr>
    <w:rPr>
      <w:i/>
      <w:iCs/>
      <w:color w:val="000000" w:themeColor="text1"/>
    </w:rPr>
  </w:style>
  <w:style w:type="character" w:customStyle="1" w:styleId="CitaCar">
    <w:name w:val="Cita Car"/>
    <w:basedOn w:val="Fuentedeprrafopredeter"/>
    <w:link w:val="Cita"/>
    <w:uiPriority w:val="29"/>
    <w:rsid w:val="0097695C"/>
    <w:rPr>
      <w:i/>
      <w:iCs/>
      <w:color w:val="000000" w:themeColor="text1"/>
    </w:rPr>
  </w:style>
  <w:style w:type="paragraph" w:styleId="Citadestacada">
    <w:name w:val="Intense Quote"/>
    <w:basedOn w:val="Normal"/>
    <w:next w:val="Normal"/>
    <w:link w:val="CitadestacadaCar"/>
    <w:uiPriority w:val="30"/>
    <w:qFormat/>
    <w:rsid w:val="0097695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97695C"/>
    <w:rPr>
      <w:color w:val="000000" w:themeColor="text1"/>
      <w:shd w:val="clear" w:color="auto" w:fill="F2F2F2" w:themeFill="background1" w:themeFillShade="F2"/>
    </w:rPr>
  </w:style>
  <w:style w:type="character" w:styleId="nfasissutil">
    <w:name w:val="Subtle Emphasis"/>
    <w:basedOn w:val="Fuentedeprrafopredeter"/>
    <w:uiPriority w:val="19"/>
    <w:qFormat/>
    <w:rsid w:val="0097695C"/>
    <w:rPr>
      <w:i/>
      <w:iCs/>
      <w:color w:val="404040" w:themeColor="text1" w:themeTint="BF"/>
    </w:rPr>
  </w:style>
  <w:style w:type="character" w:styleId="nfasisintenso">
    <w:name w:val="Intense Emphasis"/>
    <w:basedOn w:val="Fuentedeprrafopredeter"/>
    <w:uiPriority w:val="21"/>
    <w:qFormat/>
    <w:rsid w:val="0097695C"/>
    <w:rPr>
      <w:b/>
      <w:bCs/>
      <w:i/>
      <w:iCs/>
      <w:caps/>
    </w:rPr>
  </w:style>
  <w:style w:type="character" w:styleId="Referenciasutil">
    <w:name w:val="Subtle Reference"/>
    <w:basedOn w:val="Fuentedeprrafopredeter"/>
    <w:uiPriority w:val="31"/>
    <w:qFormat/>
    <w:rsid w:val="0097695C"/>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7695C"/>
    <w:rPr>
      <w:b/>
      <w:bCs/>
      <w:smallCaps/>
      <w:u w:val="single"/>
    </w:rPr>
  </w:style>
  <w:style w:type="character" w:styleId="Ttulodellibro">
    <w:name w:val="Book Title"/>
    <w:basedOn w:val="Fuentedeprrafopredeter"/>
    <w:uiPriority w:val="33"/>
    <w:qFormat/>
    <w:rsid w:val="0097695C"/>
    <w:rPr>
      <w:b w:val="0"/>
      <w:bCs w:val="0"/>
      <w:smallCaps/>
      <w:spacing w:val="5"/>
    </w:rPr>
  </w:style>
  <w:style w:type="paragraph" w:styleId="TtuloTDC">
    <w:name w:val="TOC Heading"/>
    <w:basedOn w:val="Ttulo1"/>
    <w:next w:val="Normal"/>
    <w:uiPriority w:val="39"/>
    <w:semiHidden/>
    <w:unhideWhenUsed/>
    <w:qFormat/>
    <w:rsid w:val="0097695C"/>
    <w:pPr>
      <w:outlineLvl w:val="9"/>
    </w:pPr>
  </w:style>
  <w:style w:type="paragraph" w:styleId="Textonotapie">
    <w:name w:val="footnote text"/>
    <w:basedOn w:val="Normal"/>
    <w:link w:val="TextonotapieCar"/>
    <w:uiPriority w:val="99"/>
    <w:semiHidden/>
    <w:unhideWhenUsed/>
    <w:rsid w:val="003D285E"/>
    <w:pPr>
      <w:spacing w:after="0" w:line="240" w:lineRule="auto"/>
    </w:pPr>
    <w:rPr>
      <w:rFonts w:ascii="Arial" w:eastAsiaTheme="minorHAnsi" w:hAnsi="Arial"/>
      <w:sz w:val="20"/>
      <w:szCs w:val="20"/>
    </w:rPr>
  </w:style>
  <w:style w:type="character" w:customStyle="1" w:styleId="TextonotapieCar">
    <w:name w:val="Texto nota pie Car"/>
    <w:basedOn w:val="Fuentedeprrafopredeter"/>
    <w:link w:val="Textonotapie"/>
    <w:uiPriority w:val="99"/>
    <w:semiHidden/>
    <w:rsid w:val="003D285E"/>
    <w:rPr>
      <w:rFonts w:ascii="Arial" w:eastAsiaTheme="minorHAnsi" w:hAnsi="Arial"/>
      <w:sz w:val="20"/>
      <w:szCs w:val="20"/>
      <w:lang w:val="es-CO"/>
    </w:rPr>
  </w:style>
  <w:style w:type="character" w:styleId="Refdenotaalpie">
    <w:name w:val="footnote reference"/>
    <w:basedOn w:val="Fuentedeprrafopredeter"/>
    <w:uiPriority w:val="99"/>
    <w:semiHidden/>
    <w:unhideWhenUsed/>
    <w:rsid w:val="003D285E"/>
    <w:rPr>
      <w:vertAlign w:val="superscript"/>
    </w:rPr>
  </w:style>
  <w:style w:type="paragraph" w:styleId="Prrafodelista">
    <w:name w:val="List Paragraph"/>
    <w:basedOn w:val="Normal"/>
    <w:uiPriority w:val="34"/>
    <w:qFormat/>
    <w:rsid w:val="003D285E"/>
    <w:pPr>
      <w:ind w:left="720"/>
      <w:contextualSpacing/>
    </w:pPr>
  </w:style>
  <w:style w:type="character" w:styleId="Hipervnculo">
    <w:name w:val="Hyperlink"/>
    <w:basedOn w:val="Fuentedeprrafopredeter"/>
    <w:uiPriority w:val="99"/>
    <w:unhideWhenUsed/>
    <w:rsid w:val="00EF0A01"/>
    <w:rPr>
      <w:color w:val="FB4A18" w:themeColor="hyperlink"/>
      <w:u w:val="single"/>
    </w:rPr>
  </w:style>
  <w:style w:type="character" w:styleId="Hipervnculovisitado">
    <w:name w:val="FollowedHyperlink"/>
    <w:basedOn w:val="Fuentedeprrafopredeter"/>
    <w:uiPriority w:val="99"/>
    <w:semiHidden/>
    <w:unhideWhenUsed/>
    <w:rsid w:val="00EF0A01"/>
    <w:rPr>
      <w:color w:val="FB9318" w:themeColor="followedHyperlink"/>
      <w:u w:val="single"/>
    </w:rPr>
  </w:style>
  <w:style w:type="paragraph" w:styleId="Textoindependiente">
    <w:name w:val="Body Text"/>
    <w:basedOn w:val="Normal"/>
    <w:link w:val="TextoindependienteCar"/>
    <w:uiPriority w:val="1"/>
    <w:qFormat/>
    <w:rsid w:val="00F30A3C"/>
    <w:pPr>
      <w:widowControl w:val="0"/>
      <w:autoSpaceDE w:val="0"/>
      <w:autoSpaceDN w:val="0"/>
      <w:spacing w:after="0" w:line="240" w:lineRule="auto"/>
    </w:pPr>
    <w:rPr>
      <w:rFonts w:ascii="Arial" w:eastAsia="Arial" w:hAnsi="Arial" w:cs="Arial"/>
      <w:sz w:val="20"/>
      <w:szCs w:val="20"/>
      <w:lang w:val="es-ES" w:eastAsia="es-ES" w:bidi="es-ES"/>
    </w:rPr>
  </w:style>
  <w:style w:type="character" w:customStyle="1" w:styleId="TextoindependienteCar">
    <w:name w:val="Texto independiente Car"/>
    <w:basedOn w:val="Fuentedeprrafopredeter"/>
    <w:link w:val="Textoindependiente"/>
    <w:uiPriority w:val="1"/>
    <w:rsid w:val="00F30A3C"/>
    <w:rPr>
      <w:rFonts w:ascii="Arial" w:eastAsia="Arial" w:hAnsi="Arial" w:cs="Arial"/>
      <w:sz w:val="20"/>
      <w:szCs w:val="20"/>
      <w:lang w:val="es-ES" w:eastAsia="es-ES" w:bidi="es-ES"/>
    </w:rPr>
  </w:style>
  <w:style w:type="table" w:styleId="Tablanormal1">
    <w:name w:val="Plain Table 1"/>
    <w:basedOn w:val="Tablanormal"/>
    <w:uiPriority w:val="41"/>
    <w:rsid w:val="00F30A3C"/>
    <w:pPr>
      <w:spacing w:after="0" w:line="240" w:lineRule="auto"/>
    </w:pPr>
    <w:rPr>
      <w:rFonts w:eastAsiaTheme="minorHAnsi"/>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39419">
      <w:bodyDiv w:val="1"/>
      <w:marLeft w:val="0"/>
      <w:marRight w:val="0"/>
      <w:marTop w:val="0"/>
      <w:marBottom w:val="0"/>
      <w:divBdr>
        <w:top w:val="none" w:sz="0" w:space="0" w:color="auto"/>
        <w:left w:val="none" w:sz="0" w:space="0" w:color="auto"/>
        <w:bottom w:val="none" w:sz="0" w:space="0" w:color="auto"/>
        <w:right w:val="none" w:sz="0" w:space="0" w:color="auto"/>
      </w:divBdr>
      <w:divsChild>
        <w:div w:id="823470101">
          <w:marLeft w:val="0"/>
          <w:marRight w:val="0"/>
          <w:marTop w:val="0"/>
          <w:marBottom w:val="0"/>
          <w:divBdr>
            <w:top w:val="none" w:sz="0" w:space="0" w:color="auto"/>
            <w:left w:val="none" w:sz="0" w:space="0" w:color="auto"/>
            <w:bottom w:val="none" w:sz="0" w:space="0" w:color="auto"/>
            <w:right w:val="none" w:sz="0" w:space="0" w:color="auto"/>
          </w:divBdr>
        </w:div>
        <w:div w:id="995111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Oficina Asesora de Planeación</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1927</Words>
  <Characters>10603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Estrategia de rendición de cuentas</vt:lpstr>
    </vt:vector>
  </TitlesOfParts>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Estrategia de rendición de cuentas</dc:title>
  <dc:subject>2021</dc:subject>
  <dc:creator>Usuario de Windows</dc:creator>
  <cp:keywords/>
  <dc:description/>
  <cp:lastModifiedBy>Iveet Saudy Rojas Paez</cp:lastModifiedBy>
  <cp:revision>4</cp:revision>
  <dcterms:created xsi:type="dcterms:W3CDTF">2021-10-07T19:58:00Z</dcterms:created>
  <dcterms:modified xsi:type="dcterms:W3CDTF">2021-10-07T20:16:00Z</dcterms:modified>
</cp:coreProperties>
</file>